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4E823">
      <w:pPr>
        <w:tabs>
          <w:tab w:val="left" w:pos="2880"/>
          <w:tab w:val="left" w:pos="2955"/>
        </w:tabs>
        <w:jc w:val="center"/>
        <w:rPr>
          <w:b/>
          <w:sz w:val="36"/>
          <w:szCs w:val="36"/>
        </w:rPr>
      </w:pPr>
      <w:r>
        <w:rPr>
          <w:rFonts w:hint="eastAsia"/>
          <w:b/>
          <w:sz w:val="36"/>
          <w:szCs w:val="36"/>
          <w:lang w:val="en-US" w:eastAsia="zh-CN"/>
        </w:rPr>
        <w:t>废木浆</w:t>
      </w:r>
      <w:r>
        <w:rPr>
          <w:rFonts w:hint="eastAsia"/>
          <w:b/>
          <w:sz w:val="36"/>
          <w:szCs w:val="36"/>
        </w:rPr>
        <w:t>销售合同</w:t>
      </w:r>
    </w:p>
    <w:p w14:paraId="5C87C670">
      <w:pPr>
        <w:ind w:firstLine="6300" w:firstLineChars="3000"/>
        <w:jc w:val="right"/>
        <w:rPr>
          <w:rFonts w:hint="default" w:eastAsiaTheme="minorEastAsia"/>
          <w:bCs/>
          <w:sz w:val="21"/>
          <w:szCs w:val="21"/>
          <w:lang w:val="en-US" w:eastAsia="zh-CN"/>
        </w:rPr>
      </w:pPr>
      <w:r>
        <w:rPr>
          <w:rFonts w:hint="eastAsia"/>
          <w:bCs/>
          <w:sz w:val="21"/>
          <w:szCs w:val="21"/>
        </w:rPr>
        <w:t>合同编号：</w:t>
      </w:r>
      <w:r>
        <w:rPr>
          <w:rFonts w:hint="eastAsia"/>
          <w:bCs/>
          <w:sz w:val="21"/>
          <w:szCs w:val="21"/>
          <w:lang w:val="en-US" w:eastAsia="zh-CN"/>
        </w:rPr>
        <w:t>HTRH2026-</w:t>
      </w:r>
    </w:p>
    <w:p w14:paraId="7D160350">
      <w:pPr>
        <w:ind w:firstLine="6300" w:firstLineChars="3000"/>
        <w:jc w:val="right"/>
        <w:rPr>
          <w:rFonts w:hint="default" w:eastAsiaTheme="minorEastAsia"/>
          <w:bCs/>
          <w:sz w:val="21"/>
          <w:szCs w:val="21"/>
          <w:lang w:val="en-US" w:eastAsia="zh-CN"/>
        </w:rPr>
      </w:pPr>
      <w:r>
        <w:rPr>
          <w:rFonts w:hint="eastAsia"/>
          <w:bCs/>
          <w:sz w:val="21"/>
          <w:szCs w:val="21"/>
        </w:rPr>
        <w:t>签订地点：</w:t>
      </w:r>
      <w:r>
        <w:rPr>
          <w:rFonts w:hint="eastAsia"/>
          <w:bCs/>
          <w:sz w:val="21"/>
          <w:szCs w:val="21"/>
          <w:lang w:val="en-US" w:eastAsia="zh-CN"/>
        </w:rPr>
        <w:t>珠海金湾区</w:t>
      </w:r>
    </w:p>
    <w:p w14:paraId="4BBC423D">
      <w:pPr>
        <w:tabs>
          <w:tab w:val="left" w:pos="2286"/>
        </w:tabs>
        <w:ind w:firstLine="240" w:firstLineChars="100"/>
        <w:rPr>
          <w:rFonts w:asciiTheme="minorEastAsia" w:hAnsiTheme="minorEastAsia"/>
          <w:sz w:val="24"/>
        </w:rPr>
      </w:pPr>
    </w:p>
    <w:p w14:paraId="29B2FF39">
      <w:pPr>
        <w:tabs>
          <w:tab w:val="left" w:pos="2286"/>
        </w:tabs>
        <w:ind w:firstLine="240" w:firstLineChars="100"/>
        <w:jc w:val="left"/>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val="en-US" w:eastAsia="zh-CN"/>
        </w:rPr>
        <w:t>珠海红塔仁恒新材料</w:t>
      </w:r>
      <w:r>
        <w:rPr>
          <w:rFonts w:hint="eastAsia" w:ascii="宋体" w:hAnsi="宋体" w:eastAsia="宋体" w:cs="宋体"/>
          <w:color w:val="auto"/>
          <w:sz w:val="24"/>
          <w:szCs w:val="24"/>
        </w:rPr>
        <w:t>有</w:t>
      </w:r>
      <w:r>
        <w:rPr>
          <w:rFonts w:hint="eastAsia" w:ascii="宋体" w:hAnsi="宋体" w:eastAsia="宋体" w:cs="宋体"/>
          <w:sz w:val="24"/>
          <w:szCs w:val="24"/>
        </w:rPr>
        <w:t>限公司</w:t>
      </w:r>
    </w:p>
    <w:p w14:paraId="57A58892">
      <w:pPr>
        <w:tabs>
          <w:tab w:val="left" w:pos="2286"/>
        </w:tabs>
        <w:jc w:val="left"/>
        <w:rPr>
          <w:rFonts w:hint="eastAsia" w:ascii="宋体" w:hAnsi="宋体" w:eastAsia="宋体" w:cs="宋体"/>
          <w:sz w:val="24"/>
          <w:szCs w:val="24"/>
        </w:rPr>
      </w:pPr>
    </w:p>
    <w:p w14:paraId="569AAA93">
      <w:pPr>
        <w:tabs>
          <w:tab w:val="left" w:pos="2286"/>
        </w:tabs>
        <w:ind w:firstLine="240" w:firstLineChars="100"/>
        <w:jc w:val="left"/>
        <w:rPr>
          <w:rFonts w:hint="default" w:ascii="宋体" w:hAnsi="宋体" w:eastAsia="宋体" w:cs="宋体"/>
          <w:color w:val="auto"/>
          <w:sz w:val="24"/>
          <w:szCs w:val="24"/>
          <w:lang w:val="en-US" w:eastAsia="zh-CN"/>
        </w:rPr>
      </w:pPr>
      <w:r>
        <w:rPr>
          <w:rFonts w:hint="eastAsia" w:ascii="宋体" w:hAnsi="宋体" w:eastAsia="宋体" w:cs="宋体"/>
          <w:sz w:val="24"/>
          <w:szCs w:val="24"/>
        </w:rPr>
        <w:t>乙方</w:t>
      </w:r>
      <w:r>
        <w:rPr>
          <w:rFonts w:hint="eastAsia" w:ascii="宋体" w:hAnsi="宋体" w:eastAsia="宋体" w:cs="宋体"/>
          <w:sz w:val="24"/>
          <w:szCs w:val="24"/>
          <w:lang w:eastAsia="zh-CN"/>
        </w:rPr>
        <w:t>：</w:t>
      </w:r>
    </w:p>
    <w:p w14:paraId="05DAF24B">
      <w:pPr>
        <w:tabs>
          <w:tab w:val="left" w:pos="2286"/>
        </w:tabs>
        <w:ind w:firstLine="240" w:firstLineChars="100"/>
        <w:rPr>
          <w:rFonts w:hint="eastAsia" w:ascii="宋体" w:hAnsi="宋体" w:eastAsia="宋体" w:cs="宋体"/>
          <w:i/>
          <w:iCs/>
          <w:sz w:val="24"/>
          <w:szCs w:val="24"/>
        </w:rPr>
      </w:pPr>
    </w:p>
    <w:p w14:paraId="48DFB36E">
      <w:pPr>
        <w:tabs>
          <w:tab w:val="left" w:pos="2286"/>
        </w:tabs>
        <w:spacing w:line="360" w:lineRule="auto"/>
        <w:rPr>
          <w:rFonts w:hint="eastAsia" w:ascii="宋体" w:hAnsi="宋体" w:eastAsia="宋体" w:cs="宋体"/>
          <w:sz w:val="24"/>
          <w:szCs w:val="24"/>
        </w:rPr>
      </w:pPr>
      <w:r>
        <w:rPr>
          <w:rFonts w:hint="eastAsia" w:ascii="宋体" w:hAnsi="宋体" w:eastAsia="宋体" w:cs="宋体"/>
          <w:sz w:val="24"/>
          <w:szCs w:val="24"/>
        </w:rPr>
        <w:t xml:space="preserve">      根据《</w:t>
      </w:r>
      <w:r>
        <w:rPr>
          <w:rFonts w:hint="eastAsia" w:ascii="宋体" w:hAnsi="宋体" w:eastAsia="宋体" w:cs="宋体"/>
          <w:sz w:val="24"/>
          <w:szCs w:val="24"/>
          <w:lang w:val="en-US" w:eastAsia="zh-CN"/>
        </w:rPr>
        <w:t>中华人民共和国</w:t>
      </w:r>
      <w:r>
        <w:rPr>
          <w:rFonts w:hint="eastAsia" w:ascii="宋体" w:hAnsi="宋体" w:eastAsia="宋体" w:cs="宋体"/>
          <w:sz w:val="24"/>
          <w:szCs w:val="24"/>
        </w:rPr>
        <w:t>民法</w:t>
      </w:r>
      <w:r>
        <w:rPr>
          <w:rFonts w:hint="eastAsia" w:ascii="宋体" w:hAnsi="宋体" w:eastAsia="宋体" w:cs="宋体"/>
          <w:sz w:val="24"/>
          <w:szCs w:val="24"/>
          <w:lang w:val="en-US" w:eastAsia="zh-CN"/>
        </w:rPr>
        <w:t>典</w:t>
      </w:r>
      <w:r>
        <w:rPr>
          <w:rFonts w:hint="eastAsia" w:ascii="宋体" w:hAnsi="宋体" w:eastAsia="宋体" w:cs="宋体"/>
          <w:sz w:val="24"/>
          <w:szCs w:val="24"/>
        </w:rPr>
        <w:t>》及相关法律法规的规定，本着平等互利互惠的原则，经</w:t>
      </w:r>
      <w:r>
        <w:rPr>
          <w:rFonts w:hint="eastAsia" w:ascii="宋体" w:hAnsi="宋体" w:eastAsia="宋体" w:cs="宋体"/>
          <w:sz w:val="24"/>
          <w:szCs w:val="24"/>
          <w:lang w:val="en-US" w:eastAsia="zh-CN"/>
        </w:rPr>
        <w:t>甲乙</w:t>
      </w:r>
      <w:r>
        <w:rPr>
          <w:rFonts w:hint="eastAsia" w:ascii="宋体" w:hAnsi="宋体" w:eastAsia="宋体" w:cs="宋体"/>
          <w:sz w:val="24"/>
          <w:szCs w:val="24"/>
        </w:rPr>
        <w:t>双方协商，就</w:t>
      </w:r>
      <w:r>
        <w:rPr>
          <w:rFonts w:hint="eastAsia" w:ascii="宋体" w:hAnsi="宋体" w:eastAsia="宋体" w:cs="宋体"/>
          <w:sz w:val="24"/>
          <w:szCs w:val="24"/>
          <w:lang w:val="en-US" w:eastAsia="zh-CN"/>
        </w:rPr>
        <w:t>乙方向甲方</w:t>
      </w:r>
      <w:r>
        <w:rPr>
          <w:rFonts w:hint="eastAsia" w:ascii="宋体" w:hAnsi="宋体" w:eastAsia="宋体" w:cs="宋体"/>
          <w:sz w:val="24"/>
          <w:szCs w:val="24"/>
        </w:rPr>
        <w:t>购买</w:t>
      </w:r>
      <w:r>
        <w:rPr>
          <w:rFonts w:hint="eastAsia" w:ascii="宋体" w:hAnsi="宋体" w:eastAsia="宋体" w:cs="宋体"/>
          <w:sz w:val="24"/>
          <w:szCs w:val="24"/>
          <w:lang w:val="en-US" w:eastAsia="zh-CN"/>
        </w:rPr>
        <w:t>废木浆</w:t>
      </w:r>
      <w:r>
        <w:rPr>
          <w:rFonts w:hint="eastAsia" w:ascii="宋体" w:hAnsi="宋体" w:eastAsia="宋体" w:cs="宋体"/>
          <w:sz w:val="24"/>
          <w:szCs w:val="24"/>
        </w:rPr>
        <w:t xml:space="preserve">一事达成如下协议：                                </w:t>
      </w:r>
    </w:p>
    <w:p w14:paraId="0A58D679">
      <w:pPr>
        <w:numPr>
          <w:ilvl w:val="0"/>
          <w:numId w:val="1"/>
        </w:numPr>
        <w:tabs>
          <w:tab w:val="left" w:pos="2286"/>
        </w:tabs>
        <w:spacing w:line="360" w:lineRule="auto"/>
        <w:ind w:left="-60" w:leftChars="0" w:firstLine="60" w:firstLineChars="0"/>
        <w:rPr>
          <w:rFonts w:hint="eastAsia" w:ascii="宋体" w:hAnsi="宋体" w:eastAsia="宋体" w:cs="宋体"/>
          <w:sz w:val="24"/>
          <w:szCs w:val="24"/>
        </w:rPr>
      </w:pPr>
      <w:r>
        <w:rPr>
          <w:rFonts w:hint="eastAsia" w:ascii="宋体" w:hAnsi="宋体" w:eastAsia="宋体" w:cs="宋体"/>
          <w:sz w:val="24"/>
          <w:szCs w:val="24"/>
        </w:rPr>
        <w:t>产品名称：</w:t>
      </w:r>
      <w:r>
        <w:rPr>
          <w:rFonts w:hint="eastAsia" w:ascii="宋体" w:hAnsi="宋体" w:eastAsia="宋体" w:cs="宋体"/>
          <w:sz w:val="24"/>
          <w:szCs w:val="24"/>
          <w:lang w:val="en-US" w:eastAsia="zh-CN"/>
        </w:rPr>
        <w:t>废木浆</w:t>
      </w:r>
    </w:p>
    <w:p w14:paraId="1ADDDCAA">
      <w:pPr>
        <w:numPr>
          <w:ilvl w:val="0"/>
          <w:numId w:val="1"/>
        </w:numPr>
        <w:tabs>
          <w:tab w:val="left" w:pos="2286"/>
        </w:tabs>
        <w:spacing w:line="360" w:lineRule="auto"/>
        <w:ind w:left="-60" w:leftChars="0" w:firstLine="60" w:firstLineChars="0"/>
        <w:rPr>
          <w:rFonts w:hint="eastAsia" w:ascii="宋体" w:hAnsi="宋体" w:eastAsia="宋体" w:cs="宋体"/>
          <w:sz w:val="24"/>
          <w:szCs w:val="24"/>
        </w:rPr>
      </w:pPr>
      <w:r>
        <w:rPr>
          <w:rFonts w:hint="eastAsia" w:ascii="宋体" w:hAnsi="宋体" w:eastAsia="宋体" w:cs="宋体"/>
          <w:sz w:val="24"/>
          <w:szCs w:val="24"/>
        </w:rPr>
        <w:t>价格:</w:t>
      </w: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321"/>
        <w:gridCol w:w="1278"/>
        <w:gridCol w:w="2417"/>
        <w:gridCol w:w="2601"/>
      </w:tblGrid>
      <w:tr w14:paraId="3472FC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jc w:val="center"/>
        </w:trPr>
        <w:tc>
          <w:tcPr>
            <w:tcW w:w="2321" w:type="dxa"/>
            <w:vAlign w:val="center"/>
          </w:tcPr>
          <w:p w14:paraId="5DC0448C">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商品名称</w:t>
            </w:r>
          </w:p>
        </w:tc>
        <w:tc>
          <w:tcPr>
            <w:tcW w:w="1278" w:type="dxa"/>
            <w:vAlign w:val="center"/>
          </w:tcPr>
          <w:p w14:paraId="0D3B592C">
            <w:pPr>
              <w:spacing w:line="360" w:lineRule="auto"/>
              <w:jc w:val="center"/>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单位</w:t>
            </w:r>
          </w:p>
        </w:tc>
        <w:tc>
          <w:tcPr>
            <w:tcW w:w="2417" w:type="dxa"/>
          </w:tcPr>
          <w:p w14:paraId="6866C15D">
            <w:pPr>
              <w:spacing w:line="240" w:lineRule="auto"/>
              <w:jc w:val="center"/>
              <w:rPr>
                <w:rFonts w:hint="eastAsia" w:ascii="宋体" w:hAnsi="宋体" w:eastAsia="宋体" w:cs="宋体"/>
                <w:bCs/>
                <w:sz w:val="24"/>
                <w:szCs w:val="24"/>
              </w:rPr>
            </w:pPr>
            <w:r>
              <w:rPr>
                <w:rFonts w:hint="eastAsia" w:ascii="宋体" w:hAnsi="宋体" w:eastAsia="宋体" w:cs="宋体"/>
                <w:bCs/>
                <w:sz w:val="24"/>
                <w:szCs w:val="24"/>
                <w:lang w:val="en-US" w:eastAsia="zh-CN"/>
              </w:rPr>
              <w:t>含税</w:t>
            </w:r>
            <w:r>
              <w:rPr>
                <w:rFonts w:hint="eastAsia" w:ascii="宋体" w:hAnsi="宋体" w:eastAsia="宋体" w:cs="宋体"/>
                <w:bCs/>
                <w:sz w:val="24"/>
                <w:szCs w:val="24"/>
              </w:rPr>
              <w:t>出厂价</w:t>
            </w:r>
          </w:p>
          <w:p w14:paraId="51B19469">
            <w:pPr>
              <w:spacing w:line="240" w:lineRule="auto"/>
              <w:jc w:val="center"/>
              <w:rPr>
                <w:rFonts w:hint="eastAsia" w:ascii="宋体" w:hAnsi="宋体" w:eastAsia="宋体" w:cs="宋体"/>
                <w:bCs/>
                <w:sz w:val="24"/>
                <w:szCs w:val="24"/>
                <w:lang w:eastAsia="zh-CN"/>
              </w:rPr>
            </w:pPr>
            <w:r>
              <w:rPr>
                <w:rFonts w:hint="eastAsia" w:ascii="宋体" w:hAnsi="宋体" w:eastAsia="宋体" w:cs="宋体"/>
                <w:bCs/>
                <w:sz w:val="24"/>
                <w:szCs w:val="24"/>
                <w:lang w:eastAsia="zh-CN"/>
              </w:rPr>
              <w:t>（</w:t>
            </w:r>
            <w:r>
              <w:rPr>
                <w:rFonts w:hint="eastAsia" w:ascii="宋体" w:hAnsi="宋体" w:eastAsia="宋体" w:cs="宋体"/>
                <w:bCs/>
                <w:sz w:val="24"/>
                <w:szCs w:val="24"/>
              </w:rPr>
              <w:t>元／吨</w:t>
            </w:r>
            <w:r>
              <w:rPr>
                <w:rFonts w:hint="eastAsia" w:ascii="宋体" w:hAnsi="宋体" w:eastAsia="宋体" w:cs="宋体"/>
                <w:bCs/>
                <w:sz w:val="24"/>
                <w:szCs w:val="24"/>
                <w:lang w:eastAsia="zh-CN"/>
              </w:rPr>
              <w:t>）</w:t>
            </w:r>
          </w:p>
        </w:tc>
        <w:tc>
          <w:tcPr>
            <w:tcW w:w="2601" w:type="dxa"/>
          </w:tcPr>
          <w:p w14:paraId="773024A9">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备注</w:t>
            </w:r>
          </w:p>
        </w:tc>
      </w:tr>
      <w:tr w14:paraId="3B22E8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jc w:val="center"/>
        </w:trPr>
        <w:tc>
          <w:tcPr>
            <w:tcW w:w="2321" w:type="dxa"/>
            <w:vAlign w:val="center"/>
          </w:tcPr>
          <w:p w14:paraId="01D72EA7">
            <w:pPr>
              <w:spacing w:line="360" w:lineRule="auto"/>
              <w:jc w:val="center"/>
              <w:rPr>
                <w:rFonts w:hint="default" w:ascii="宋体" w:hAnsi="宋体" w:eastAsia="宋体" w:cs="宋体"/>
                <w:bCs/>
                <w:sz w:val="24"/>
                <w:szCs w:val="24"/>
                <w:lang w:val="en-US" w:eastAsia="zh-CN"/>
              </w:rPr>
            </w:pPr>
            <w:r>
              <w:rPr>
                <w:rFonts w:hint="eastAsia" w:ascii="宋体" w:hAnsi="宋体" w:eastAsia="宋体" w:cs="宋体"/>
                <w:bCs/>
                <w:sz w:val="24"/>
                <w:szCs w:val="24"/>
                <w:lang w:val="en-US" w:eastAsia="zh-CN"/>
              </w:rPr>
              <w:t>废木浆</w:t>
            </w:r>
          </w:p>
        </w:tc>
        <w:tc>
          <w:tcPr>
            <w:tcW w:w="1278" w:type="dxa"/>
            <w:vAlign w:val="center"/>
          </w:tcPr>
          <w:p w14:paraId="2F09CFA7">
            <w:pPr>
              <w:spacing w:line="360" w:lineRule="auto"/>
              <w:jc w:val="center"/>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吨</w:t>
            </w:r>
          </w:p>
        </w:tc>
        <w:tc>
          <w:tcPr>
            <w:tcW w:w="2417" w:type="dxa"/>
          </w:tcPr>
          <w:p w14:paraId="5C21802F">
            <w:pPr>
              <w:spacing w:line="360" w:lineRule="auto"/>
              <w:jc w:val="center"/>
              <w:rPr>
                <w:rFonts w:hint="eastAsia" w:ascii="宋体" w:hAnsi="宋体" w:eastAsia="宋体" w:cs="宋体"/>
                <w:bCs/>
                <w:color w:val="auto"/>
                <w:sz w:val="24"/>
                <w:szCs w:val="24"/>
                <w:lang w:val="en-US" w:eastAsia="zh-CN"/>
              </w:rPr>
            </w:pPr>
          </w:p>
          <w:p w14:paraId="09518A48">
            <w:pPr>
              <w:spacing w:line="360" w:lineRule="auto"/>
              <w:jc w:val="center"/>
              <w:rPr>
                <w:rFonts w:hint="default" w:ascii="宋体" w:hAnsi="宋体" w:eastAsia="宋体" w:cs="宋体"/>
                <w:bCs/>
                <w:sz w:val="24"/>
                <w:szCs w:val="24"/>
                <w:lang w:val="en-US" w:eastAsia="zh-CN"/>
              </w:rPr>
            </w:pPr>
          </w:p>
        </w:tc>
        <w:tc>
          <w:tcPr>
            <w:tcW w:w="2601" w:type="dxa"/>
          </w:tcPr>
          <w:p w14:paraId="61F6D551">
            <w:pPr>
              <w:spacing w:line="360" w:lineRule="auto"/>
              <w:rPr>
                <w:rFonts w:hint="eastAsia" w:ascii="宋体" w:hAnsi="宋体" w:eastAsia="宋体" w:cs="宋体"/>
                <w:bCs/>
                <w:sz w:val="24"/>
                <w:szCs w:val="24"/>
              </w:rPr>
            </w:pPr>
            <w:r>
              <w:rPr>
                <w:rFonts w:hint="eastAsia" w:ascii="宋体" w:hAnsi="宋体" w:eastAsia="宋体" w:cs="宋体"/>
                <w:bCs/>
                <w:sz w:val="24"/>
                <w:szCs w:val="24"/>
                <w:lang w:val="en-US" w:eastAsia="zh-CN"/>
              </w:rPr>
              <w:t>废木浆含有水分、杂质，</w:t>
            </w:r>
            <w:r>
              <w:rPr>
                <w:rFonts w:hint="eastAsia" w:ascii="宋体" w:hAnsi="宋体" w:eastAsia="宋体" w:cs="宋体"/>
                <w:bCs/>
                <w:i w:val="0"/>
                <w:iCs w:val="0"/>
                <w:color w:val="auto"/>
                <w:kern w:val="2"/>
                <w:sz w:val="24"/>
                <w:szCs w:val="24"/>
                <w:u w:val="none"/>
                <w:lang w:val="en-US" w:eastAsia="zh-CN" w:bidi="ar"/>
              </w:rPr>
              <w:t>以现场实际货样为准，不接受任何客诉。</w:t>
            </w:r>
          </w:p>
        </w:tc>
      </w:tr>
    </w:tbl>
    <w:p w14:paraId="4348C1E9">
      <w:pPr>
        <w:tabs>
          <w:tab w:val="left" w:pos="2286"/>
        </w:tabs>
        <w:spacing w:line="360" w:lineRule="auto"/>
        <w:ind w:firstLine="480" w:firstLineChars="200"/>
        <w:rPr>
          <w:rFonts w:hint="eastAsia" w:ascii="宋体" w:hAnsi="宋体" w:eastAsia="宋体" w:cs="宋体"/>
          <w:sz w:val="24"/>
          <w:szCs w:val="24"/>
          <w:lang w:val="en-US" w:eastAsia="zh-CN"/>
        </w:rPr>
      </w:pPr>
    </w:p>
    <w:p w14:paraId="6E8F8DF1">
      <w:pPr>
        <w:tabs>
          <w:tab w:val="left" w:pos="2286"/>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甲乙</w:t>
      </w:r>
      <w:r>
        <w:rPr>
          <w:rFonts w:hint="eastAsia" w:ascii="宋体" w:hAnsi="宋体" w:eastAsia="宋体" w:cs="宋体"/>
          <w:sz w:val="24"/>
          <w:szCs w:val="24"/>
        </w:rPr>
        <w:t>双方确认元/吨</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含13%税</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为</w:t>
      </w:r>
      <w:r>
        <w:rPr>
          <w:rFonts w:hint="eastAsia" w:ascii="宋体" w:hAnsi="宋体" w:eastAsia="宋体" w:cs="宋体"/>
          <w:sz w:val="24"/>
          <w:szCs w:val="24"/>
        </w:rPr>
        <w:t>出厂售卖单价，乙方承担</w:t>
      </w:r>
      <w:r>
        <w:rPr>
          <w:rFonts w:hint="eastAsia" w:ascii="宋体" w:hAnsi="宋体" w:eastAsia="宋体" w:cs="宋体"/>
          <w:sz w:val="24"/>
          <w:szCs w:val="24"/>
          <w:lang w:val="en-US" w:eastAsia="zh-CN"/>
        </w:rPr>
        <w:t>运输，包括但不限于从甲方指定装货地点至乙方目的地的运输费用、运输途中的路桥费、停车费及与运输相关的其他辅助费用</w:t>
      </w:r>
      <w:r>
        <w:rPr>
          <w:rFonts w:hint="eastAsia" w:ascii="宋体" w:hAnsi="宋体" w:eastAsia="宋体" w:cs="宋体"/>
          <w:sz w:val="24"/>
          <w:szCs w:val="24"/>
        </w:rPr>
        <w:t>。</w:t>
      </w:r>
    </w:p>
    <w:p w14:paraId="09635DF3">
      <w:pPr>
        <w:pStyle w:val="6"/>
        <w:numPr>
          <w:ilvl w:val="0"/>
          <w:numId w:val="1"/>
        </w:numPr>
        <w:spacing w:line="360" w:lineRule="auto"/>
        <w:ind w:left="-60" w:leftChars="0" w:firstLine="60"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结算方式：</w:t>
      </w:r>
    </w:p>
    <w:p w14:paraId="242D188C">
      <w:pPr>
        <w:numPr>
          <w:ilvl w:val="0"/>
          <w:numId w:val="0"/>
        </w:numPr>
        <w:tabs>
          <w:tab w:val="left" w:pos="2286"/>
        </w:tabs>
        <w:spacing w:line="360" w:lineRule="auto"/>
        <w:ind w:firstLine="482" w:firstLineChars="2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1、乙方每车次清运时应在甲方地磅过磅，并以甲方磅单数量为准。双方凭甲方地磅单的数量，结合合同价格核算出应付金额，乙方将款项汇入甲方账户后，甲方确认收到款项后逐车办理放行手续。</w:t>
      </w:r>
    </w:p>
    <w:p w14:paraId="7460E78F">
      <w:pPr>
        <w:numPr>
          <w:ilvl w:val="0"/>
          <w:numId w:val="0"/>
        </w:numPr>
        <w:tabs>
          <w:tab w:val="left" w:pos="2286"/>
        </w:tabs>
        <w:spacing w:line="360" w:lineRule="auto"/>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rPr>
        <w:t>2、乙方所付货款甲方需提供给乙方13%的增值税专用发票。双方进行对账核算并签字确认</w:t>
      </w:r>
      <w:r>
        <w:rPr>
          <w:rFonts w:hint="eastAsia" w:ascii="宋体" w:hAnsi="宋体" w:eastAsia="宋体" w:cs="宋体"/>
          <w:b/>
          <w:bCs/>
          <w:sz w:val="24"/>
          <w:szCs w:val="24"/>
          <w:lang w:val="en-US" w:eastAsia="zh-CN"/>
        </w:rPr>
        <w:t>后</w:t>
      </w:r>
      <w:r>
        <w:rPr>
          <w:rFonts w:hint="eastAsia" w:ascii="宋体" w:hAnsi="宋体" w:eastAsia="宋体" w:cs="宋体"/>
          <w:b/>
          <w:bCs/>
          <w:sz w:val="24"/>
          <w:szCs w:val="24"/>
        </w:rPr>
        <w:t>按</w:t>
      </w:r>
      <w:r>
        <w:rPr>
          <w:rFonts w:hint="eastAsia" w:ascii="宋体" w:hAnsi="宋体" w:eastAsia="宋体" w:cs="宋体"/>
          <w:b/>
          <w:bCs/>
          <w:sz w:val="24"/>
          <w:szCs w:val="24"/>
          <w:lang w:val="en-US" w:eastAsia="zh-CN"/>
        </w:rPr>
        <w:t>月结算金额开具</w:t>
      </w:r>
      <w:r>
        <w:rPr>
          <w:rFonts w:hint="eastAsia" w:ascii="宋体" w:hAnsi="宋体" w:eastAsia="宋体" w:cs="宋体"/>
          <w:b/>
          <w:bCs/>
          <w:sz w:val="24"/>
          <w:szCs w:val="24"/>
        </w:rPr>
        <w:t>发票</w:t>
      </w:r>
      <w:r>
        <w:rPr>
          <w:rFonts w:hint="eastAsia" w:ascii="宋体" w:hAnsi="宋体" w:eastAsia="宋体" w:cs="宋体"/>
          <w:b/>
          <w:bCs/>
          <w:sz w:val="24"/>
          <w:szCs w:val="24"/>
          <w:lang w:eastAsia="zh-CN"/>
        </w:rPr>
        <w:t>。</w:t>
      </w:r>
    </w:p>
    <w:p w14:paraId="3E44C66E">
      <w:pPr>
        <w:numPr>
          <w:ilvl w:val="0"/>
          <w:numId w:val="1"/>
        </w:numPr>
        <w:tabs>
          <w:tab w:val="left" w:pos="2286"/>
        </w:tabs>
        <w:spacing w:line="360" w:lineRule="auto"/>
        <w:ind w:left="-60" w:leftChars="0" w:firstLine="60" w:firstLineChars="0"/>
        <w:rPr>
          <w:rFonts w:hint="eastAsia" w:ascii="宋体" w:hAnsi="宋体" w:eastAsia="宋体" w:cs="宋体"/>
          <w:sz w:val="24"/>
          <w:szCs w:val="24"/>
        </w:rPr>
      </w:pPr>
      <w:r>
        <w:rPr>
          <w:rFonts w:hint="eastAsia" w:ascii="宋体" w:hAnsi="宋体" w:eastAsia="宋体" w:cs="宋体"/>
          <w:sz w:val="24"/>
          <w:szCs w:val="24"/>
        </w:rPr>
        <w:t>质量标准：</w:t>
      </w:r>
    </w:p>
    <w:p w14:paraId="5129C8E3">
      <w:pPr>
        <w:tabs>
          <w:tab w:val="left" w:pos="2286"/>
        </w:tabs>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乙方在签订本合同前，已对甲方堆存</w:t>
      </w:r>
      <w:r>
        <w:rPr>
          <w:rFonts w:hint="eastAsia" w:ascii="宋体" w:hAnsi="宋体" w:eastAsia="宋体" w:cs="宋体"/>
          <w:b/>
          <w:bCs/>
          <w:sz w:val="24"/>
          <w:szCs w:val="24"/>
          <w:lang w:val="en-US" w:eastAsia="zh-CN"/>
        </w:rPr>
        <w:t>废木浆</w:t>
      </w:r>
      <w:r>
        <w:rPr>
          <w:rFonts w:hint="eastAsia" w:ascii="宋体" w:hAnsi="宋体" w:eastAsia="宋体" w:cs="宋体"/>
          <w:b/>
          <w:bCs/>
          <w:sz w:val="24"/>
          <w:szCs w:val="24"/>
        </w:rPr>
        <w:t>的现状（包括但不限于水分含量、杂质比例、颗粒大小等）进行现场查验并予以认可</w:t>
      </w:r>
      <w:r>
        <w:rPr>
          <w:rFonts w:hint="eastAsia" w:ascii="宋体" w:hAnsi="宋体" w:eastAsia="宋体" w:cs="宋体"/>
          <w:b/>
          <w:bCs/>
          <w:sz w:val="24"/>
          <w:szCs w:val="24"/>
          <w:lang w:val="en-US" w:eastAsia="zh-CN"/>
        </w:rPr>
        <w:t>,</w:t>
      </w:r>
      <w:r>
        <w:rPr>
          <w:rFonts w:hint="eastAsia" w:ascii="宋体" w:hAnsi="宋体" w:eastAsia="宋体" w:cs="宋体"/>
          <w:b/>
          <w:bCs/>
          <w:i w:val="0"/>
          <w:iCs w:val="0"/>
          <w:caps w:val="0"/>
          <w:spacing w:val="0"/>
          <w:sz w:val="24"/>
          <w:szCs w:val="24"/>
          <w:shd w:val="clear" w:fill="auto"/>
        </w:rPr>
        <w:t>乙方</w:t>
      </w:r>
      <w:r>
        <w:rPr>
          <w:rFonts w:hint="eastAsia" w:ascii="宋体" w:hAnsi="宋体" w:eastAsia="宋体" w:cs="宋体"/>
          <w:b/>
          <w:bCs/>
          <w:i w:val="0"/>
          <w:iCs w:val="0"/>
          <w:caps w:val="0"/>
          <w:spacing w:val="0"/>
          <w:sz w:val="24"/>
          <w:szCs w:val="24"/>
          <w:shd w:val="clear" w:fill="auto"/>
          <w:lang w:val="en-US" w:eastAsia="zh-CN"/>
        </w:rPr>
        <w:t>确认后续</w:t>
      </w:r>
      <w:r>
        <w:rPr>
          <w:rFonts w:hint="eastAsia" w:ascii="宋体" w:hAnsi="宋体" w:eastAsia="宋体" w:cs="宋体"/>
          <w:b/>
          <w:bCs/>
          <w:i w:val="0"/>
          <w:iCs w:val="0"/>
          <w:caps w:val="0"/>
          <w:spacing w:val="0"/>
          <w:sz w:val="24"/>
          <w:szCs w:val="24"/>
          <w:shd w:val="clear" w:fill="auto"/>
        </w:rPr>
        <w:t>不再以任何质量理由提出客诉或异议</w:t>
      </w:r>
      <w:r>
        <w:rPr>
          <w:rFonts w:hint="eastAsia" w:ascii="宋体" w:hAnsi="宋体" w:eastAsia="宋体" w:cs="宋体"/>
          <w:b/>
          <w:bCs/>
          <w:i w:val="0"/>
          <w:iCs w:val="0"/>
          <w:caps w:val="0"/>
          <w:spacing w:val="0"/>
          <w:sz w:val="24"/>
          <w:szCs w:val="24"/>
          <w:shd w:val="clear"/>
          <w:lang w:eastAsia="zh-CN"/>
        </w:rPr>
        <w:t>，</w:t>
      </w:r>
      <w:r>
        <w:rPr>
          <w:rFonts w:hint="eastAsia" w:ascii="宋体" w:hAnsi="宋体" w:eastAsia="宋体" w:cs="宋体"/>
          <w:b/>
          <w:bCs/>
          <w:sz w:val="24"/>
          <w:szCs w:val="24"/>
        </w:rPr>
        <w:t>因质量、安全、环保等风险问题可能引发纠纷</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处罚等均由乙方承担</w:t>
      </w:r>
      <w:r>
        <w:rPr>
          <w:rFonts w:hint="eastAsia" w:ascii="宋体" w:hAnsi="宋体" w:eastAsia="宋体" w:cs="宋体"/>
          <w:b/>
          <w:bCs/>
          <w:sz w:val="24"/>
          <w:szCs w:val="24"/>
        </w:rPr>
        <w:t>。</w:t>
      </w:r>
    </w:p>
    <w:p w14:paraId="0E349CB4">
      <w:pPr>
        <w:numPr>
          <w:ilvl w:val="0"/>
          <w:numId w:val="1"/>
        </w:numPr>
        <w:tabs>
          <w:tab w:val="left" w:pos="2286"/>
        </w:tabs>
        <w:spacing w:line="360" w:lineRule="auto"/>
        <w:ind w:left="-60" w:leftChars="0" w:firstLine="60" w:firstLineChars="0"/>
        <w:rPr>
          <w:rFonts w:hint="eastAsia" w:ascii="宋体" w:hAnsi="宋体" w:eastAsia="宋体" w:cs="宋体"/>
          <w:sz w:val="24"/>
          <w:szCs w:val="24"/>
        </w:rPr>
      </w:pPr>
      <w:r>
        <w:rPr>
          <w:rFonts w:hint="eastAsia" w:ascii="宋体" w:hAnsi="宋体" w:eastAsia="宋体" w:cs="宋体"/>
          <w:sz w:val="24"/>
          <w:szCs w:val="24"/>
        </w:rPr>
        <w:t>交货方式：乙方负责安排车辆自行提货，甲方负责在甲方指定装货地点的装车，车辆离开</w:t>
      </w:r>
      <w:r>
        <w:rPr>
          <w:rFonts w:hint="eastAsia" w:ascii="宋体" w:hAnsi="宋体" w:eastAsia="宋体" w:cs="宋体"/>
          <w:sz w:val="24"/>
          <w:szCs w:val="24"/>
          <w:lang w:val="en-US" w:eastAsia="zh-CN"/>
        </w:rPr>
        <w:t>甲方</w:t>
      </w:r>
      <w:r>
        <w:rPr>
          <w:rFonts w:hint="eastAsia" w:ascii="宋体" w:hAnsi="宋体" w:eastAsia="宋体" w:cs="宋体"/>
          <w:sz w:val="24"/>
          <w:szCs w:val="24"/>
        </w:rPr>
        <w:t>工厂后</w:t>
      </w:r>
      <w:r>
        <w:rPr>
          <w:rFonts w:hint="eastAsia" w:ascii="宋体" w:hAnsi="宋体" w:eastAsia="宋体" w:cs="宋体"/>
          <w:sz w:val="24"/>
          <w:szCs w:val="24"/>
          <w:lang w:val="en-US" w:eastAsia="zh-CN"/>
        </w:rPr>
        <w:t>所</w:t>
      </w:r>
      <w:r>
        <w:rPr>
          <w:rFonts w:hint="eastAsia" w:ascii="宋体" w:hAnsi="宋体" w:eastAsia="宋体" w:cs="宋体"/>
          <w:sz w:val="24"/>
          <w:szCs w:val="24"/>
        </w:rPr>
        <w:t>产生的所有费用</w:t>
      </w:r>
      <w:r>
        <w:rPr>
          <w:rFonts w:hint="eastAsia" w:ascii="宋体" w:hAnsi="宋体" w:eastAsia="宋体" w:cs="宋体"/>
          <w:sz w:val="24"/>
          <w:szCs w:val="24"/>
          <w:lang w:val="en-US" w:eastAsia="zh-CN"/>
        </w:rPr>
        <w:t>及风险</w:t>
      </w:r>
      <w:r>
        <w:rPr>
          <w:rFonts w:hint="eastAsia" w:ascii="宋体" w:hAnsi="宋体" w:eastAsia="宋体" w:cs="宋体"/>
          <w:sz w:val="24"/>
          <w:szCs w:val="24"/>
        </w:rPr>
        <w:t>由乙方负担。</w:t>
      </w:r>
      <w:r>
        <w:rPr>
          <w:rFonts w:hint="eastAsia" w:ascii="宋体" w:hAnsi="宋体" w:eastAsia="宋体" w:cs="宋体"/>
          <w:sz w:val="24"/>
          <w:szCs w:val="24"/>
          <w:lang w:val="en-US" w:eastAsia="zh-CN"/>
        </w:rPr>
        <w:t>货物交付乙方承运人后，货物的毁损灭失风险及车辆违章、毁损风险均由乙方承担。</w:t>
      </w:r>
    </w:p>
    <w:p w14:paraId="311AD07E">
      <w:pPr>
        <w:numPr>
          <w:ilvl w:val="1"/>
          <w:numId w:val="0"/>
        </w:numPr>
        <w:tabs>
          <w:tab w:val="left" w:pos="964"/>
          <w:tab w:val="left" w:pos="1080"/>
        </w:tabs>
        <w:spacing w:before="192" w:beforeLines="80" w:after="192" w:afterLines="80" w:line="360" w:lineRule="auto"/>
        <w:ind w:leftChars="0"/>
        <w:rPr>
          <w:rFonts w:hint="eastAsia" w:ascii="宋体" w:hAnsi="宋体" w:eastAsia="宋体" w:cs="宋体"/>
          <w:color w:val="auto"/>
          <w:sz w:val="24"/>
          <w:szCs w:val="24"/>
        </w:rPr>
      </w:pPr>
      <w:r>
        <w:rPr>
          <w:rFonts w:hint="eastAsia" w:ascii="宋体" w:hAnsi="宋体" w:eastAsia="宋体" w:cs="宋体"/>
          <w:sz w:val="24"/>
          <w:szCs w:val="24"/>
          <w:lang w:val="en-US" w:eastAsia="zh-CN"/>
        </w:rPr>
        <w:t>六、</w:t>
      </w:r>
      <w:r>
        <w:rPr>
          <w:rFonts w:hint="eastAsia" w:ascii="宋体" w:hAnsi="宋体" w:eastAsia="宋体" w:cs="宋体"/>
          <w:sz w:val="24"/>
          <w:szCs w:val="24"/>
        </w:rPr>
        <w:t xml:space="preserve">有效期限： </w:t>
      </w:r>
      <w:r>
        <w:rPr>
          <w:rFonts w:hint="eastAsia" w:ascii="宋体" w:hAnsi="宋体" w:eastAsia="宋体" w:cs="宋体"/>
          <w:sz w:val="24"/>
          <w:szCs w:val="24"/>
          <w:lang w:val="en-US" w:eastAsia="zh-CN"/>
        </w:rPr>
        <w:t>合同签订生效之日起90天内</w:t>
      </w:r>
      <w:r>
        <w:rPr>
          <w:rFonts w:hint="eastAsia" w:ascii="宋体" w:hAnsi="宋体" w:eastAsia="宋体" w:cs="宋体"/>
          <w:sz w:val="24"/>
          <w:szCs w:val="24"/>
        </w:rPr>
        <w:t>。</w:t>
      </w:r>
    </w:p>
    <w:p w14:paraId="76975773">
      <w:pPr>
        <w:tabs>
          <w:tab w:val="left" w:pos="2286"/>
        </w:tabs>
        <w:spacing w:line="360" w:lineRule="auto"/>
        <w:rPr>
          <w:rFonts w:hint="eastAsia" w:ascii="宋体" w:hAnsi="宋体" w:eastAsia="宋体" w:cs="宋体"/>
          <w:b/>
          <w:sz w:val="24"/>
          <w:szCs w:val="24"/>
        </w:rPr>
      </w:pPr>
      <w:r>
        <w:rPr>
          <w:rFonts w:hint="eastAsia" w:ascii="宋体" w:hAnsi="宋体" w:eastAsia="宋体" w:cs="宋体"/>
          <w:b/>
          <w:bCs/>
          <w:sz w:val="24"/>
          <w:szCs w:val="24"/>
          <w:lang w:val="en-US" w:eastAsia="zh-CN"/>
        </w:rPr>
        <w:t>七、</w:t>
      </w:r>
      <w:r>
        <w:rPr>
          <w:rFonts w:hint="eastAsia" w:ascii="宋体" w:hAnsi="宋体" w:eastAsia="宋体" w:cs="宋体"/>
          <w:sz w:val="24"/>
          <w:szCs w:val="24"/>
        </w:rPr>
        <w:t>乙方授权下列人员全权代表乙方处理本合同涉及一切事宜：</w:t>
      </w:r>
    </w:p>
    <w:p w14:paraId="62DEA270">
      <w:pPr>
        <w:tabs>
          <w:tab w:val="left" w:pos="2286"/>
        </w:tabs>
        <w:spacing w:line="360" w:lineRule="auto"/>
        <w:ind w:firstLine="960" w:firstLineChars="400"/>
        <w:rPr>
          <w:rFonts w:hint="default" w:ascii="宋体" w:hAnsi="宋体" w:eastAsia="宋体" w:cs="宋体"/>
          <w:sz w:val="24"/>
          <w:szCs w:val="24"/>
          <w:u w:val="single"/>
          <w:lang w:val="en-US" w:eastAsia="zh-CN"/>
        </w:rPr>
      </w:pPr>
      <w:r>
        <w:rPr>
          <w:rFonts w:hint="eastAsia" w:ascii="宋体" w:hAnsi="宋体" w:eastAsia="宋体" w:cs="宋体"/>
          <w:sz w:val="24"/>
          <w:szCs w:val="24"/>
        </w:rPr>
        <w:t xml:space="preserve">授权人: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身份证号码：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电话：</w:t>
      </w:r>
      <w:bookmarkStart w:id="0" w:name="_GoBack"/>
      <w:bookmarkEnd w:id="0"/>
    </w:p>
    <w:p w14:paraId="20961955">
      <w:pPr>
        <w:numPr>
          <w:ilvl w:val="0"/>
          <w:numId w:val="0"/>
        </w:numPr>
        <w:tabs>
          <w:tab w:val="left" w:pos="2286"/>
        </w:tabs>
        <w:spacing w:line="360" w:lineRule="auto"/>
        <w:ind w:leftChars="0"/>
        <w:rPr>
          <w:rFonts w:hint="eastAsia" w:ascii="宋体" w:hAnsi="宋体" w:eastAsia="宋体" w:cs="宋体"/>
          <w:sz w:val="24"/>
          <w:szCs w:val="24"/>
        </w:rPr>
      </w:pPr>
      <w:r>
        <w:rPr>
          <w:rFonts w:hint="eastAsia" w:ascii="宋体" w:hAnsi="宋体" w:eastAsia="宋体" w:cs="宋体"/>
          <w:sz w:val="24"/>
          <w:szCs w:val="24"/>
          <w:lang w:val="en-US" w:eastAsia="zh-CN"/>
        </w:rPr>
        <w:t>八、双方权利与义务</w:t>
      </w:r>
      <w:r>
        <w:rPr>
          <w:rFonts w:hint="eastAsia" w:ascii="宋体" w:hAnsi="宋体" w:eastAsia="宋体" w:cs="宋体"/>
          <w:sz w:val="24"/>
          <w:szCs w:val="24"/>
        </w:rPr>
        <w:t>：</w:t>
      </w:r>
    </w:p>
    <w:p w14:paraId="4A1833AA">
      <w:pPr>
        <w:pStyle w:val="14"/>
        <w:tabs>
          <w:tab w:val="left" w:pos="2286"/>
        </w:tabs>
        <w:spacing w:line="360" w:lineRule="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甲方应及时向乙方通知库存情况，以便乙方安排提货事宜。</w:t>
      </w:r>
    </w:p>
    <w:p w14:paraId="4FF06BCB">
      <w:pPr>
        <w:pStyle w:val="14"/>
        <w:tabs>
          <w:tab w:val="left" w:pos="2286"/>
        </w:tabs>
        <w:spacing w:line="360" w:lineRule="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乙方进厂规则：必须遵守甲方的货物进出厂装卸及检验等相关流程规则。乙方人员</w:t>
      </w:r>
    </w:p>
    <w:p w14:paraId="11143C0D">
      <w:pPr>
        <w:pStyle w:val="14"/>
        <w:tabs>
          <w:tab w:val="left" w:pos="2286"/>
        </w:tabs>
        <w:spacing w:line="360" w:lineRule="auto"/>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及车辆在甲方厂区内（包括但不限于检验、卸货、行驶等过程）对乙方自身、甲方或第三方造成的财产损失、人身伤害均由乙方负全部责任。</w:t>
      </w:r>
    </w:p>
    <w:p w14:paraId="5763BDEE">
      <w:pPr>
        <w:pStyle w:val="14"/>
        <w:numPr>
          <w:ilvl w:val="0"/>
          <w:numId w:val="0"/>
        </w:numPr>
        <w:spacing w:line="360" w:lineRule="auto"/>
        <w:ind w:firstLine="0" w:firstLineChars="0"/>
        <w:jc w:val="left"/>
        <w:rPr>
          <w:rFonts w:hint="default" w:ascii="宋体" w:hAnsi="宋体" w:eastAsia="宋体" w:cs="宋体"/>
          <w:b/>
          <w:bCs/>
          <w:sz w:val="24"/>
          <w:szCs w:val="24"/>
          <w:lang w:val="en-US" w:eastAsia="zh-CN"/>
        </w:rPr>
      </w:pPr>
    </w:p>
    <w:p w14:paraId="170FE72F">
      <w:pPr>
        <w:pStyle w:val="14"/>
        <w:numPr>
          <w:ilvl w:val="-1"/>
          <w:numId w:val="0"/>
        </w:numPr>
        <w:tabs>
          <w:tab w:val="left" w:pos="2286"/>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乙方需保证运输车辆的洁净及密封程度，符合国家要求的相关安全及环保运输标准，</w:t>
      </w:r>
    </w:p>
    <w:p w14:paraId="7359BD82">
      <w:pPr>
        <w:pStyle w:val="14"/>
        <w:numPr>
          <w:ilvl w:val="0"/>
          <w:numId w:val="0"/>
        </w:numPr>
        <w:tabs>
          <w:tab w:val="left" w:pos="2286"/>
        </w:tabs>
        <w:spacing w:line="360" w:lineRule="auto"/>
        <w:rPr>
          <w:rFonts w:hint="eastAsia" w:ascii="宋体" w:hAnsi="宋体" w:eastAsia="宋体" w:cs="宋体"/>
          <w:sz w:val="24"/>
          <w:szCs w:val="24"/>
        </w:rPr>
      </w:pPr>
      <w:r>
        <w:rPr>
          <w:rFonts w:hint="eastAsia" w:ascii="宋体" w:hAnsi="宋体" w:eastAsia="宋体" w:cs="宋体"/>
          <w:sz w:val="24"/>
          <w:szCs w:val="24"/>
        </w:rPr>
        <w:t>运输过程确保不洒落</w:t>
      </w:r>
      <w:r>
        <w:rPr>
          <w:rFonts w:hint="eastAsia" w:ascii="宋体" w:hAnsi="宋体" w:eastAsia="宋体" w:cs="宋体"/>
          <w:sz w:val="24"/>
          <w:szCs w:val="24"/>
          <w:lang w:val="en-US" w:eastAsia="zh-CN"/>
        </w:rPr>
        <w:t>废木浆</w:t>
      </w:r>
      <w:r>
        <w:rPr>
          <w:rFonts w:hint="eastAsia" w:ascii="宋体" w:hAnsi="宋体" w:eastAsia="宋体" w:cs="宋体"/>
          <w:sz w:val="24"/>
          <w:szCs w:val="24"/>
        </w:rPr>
        <w:t>。自离开甲方工厂仓库起，所发生的一切风险及损失由乙方承担。</w:t>
      </w:r>
    </w:p>
    <w:p w14:paraId="06706CDA">
      <w:pPr>
        <w:pStyle w:val="14"/>
        <w:numPr>
          <w:ilvl w:val="-1"/>
          <w:numId w:val="0"/>
        </w:numPr>
        <w:ind w:firstLine="480"/>
        <w:rPr>
          <w:rFonts w:hint="eastAsia" w:ascii="宋体" w:hAnsi="宋体" w:eastAsia="宋体" w:cs="宋体"/>
          <w:b/>
          <w:bCs/>
          <w:color w:val="auto"/>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乙方</w:t>
      </w:r>
      <w:r>
        <w:rPr>
          <w:rFonts w:hint="eastAsia" w:ascii="宋体" w:hAnsi="宋体" w:eastAsia="宋体" w:cs="宋体"/>
          <w:sz w:val="24"/>
          <w:szCs w:val="24"/>
          <w:lang w:val="en-US" w:eastAsia="zh-CN"/>
        </w:rPr>
        <w:t>按甲方</w:t>
      </w:r>
      <w:r>
        <w:rPr>
          <w:rFonts w:hint="eastAsia" w:ascii="宋体" w:hAnsi="宋体" w:eastAsia="宋体" w:cs="宋体"/>
          <w:sz w:val="24"/>
          <w:szCs w:val="24"/>
        </w:rPr>
        <w:t>通知</w:t>
      </w:r>
      <w:r>
        <w:rPr>
          <w:rFonts w:hint="eastAsia" w:ascii="宋体" w:hAnsi="宋体" w:eastAsia="宋体" w:cs="宋体"/>
          <w:sz w:val="24"/>
          <w:szCs w:val="24"/>
          <w:lang w:val="en-US" w:eastAsia="zh-CN"/>
        </w:rPr>
        <w:t>时间</w:t>
      </w:r>
      <w:r>
        <w:rPr>
          <w:rFonts w:hint="eastAsia" w:ascii="宋体" w:hAnsi="宋体" w:eastAsia="宋体" w:cs="宋体"/>
          <w:sz w:val="24"/>
          <w:szCs w:val="24"/>
        </w:rPr>
        <w:t>提货，</w:t>
      </w:r>
      <w:r>
        <w:rPr>
          <w:rFonts w:hint="eastAsia" w:ascii="宋体" w:hAnsi="宋体" w:eastAsia="宋体" w:cs="宋体"/>
          <w:sz w:val="24"/>
          <w:szCs w:val="24"/>
          <w:lang w:val="en-US" w:eastAsia="zh-CN"/>
        </w:rPr>
        <w:t>并</w:t>
      </w:r>
      <w:r>
        <w:rPr>
          <w:rFonts w:hint="eastAsia" w:ascii="宋体" w:hAnsi="宋体" w:eastAsia="宋体" w:cs="宋体"/>
          <w:sz w:val="24"/>
          <w:szCs w:val="24"/>
        </w:rPr>
        <w:t>应在合同</w:t>
      </w:r>
      <w:r>
        <w:rPr>
          <w:rFonts w:hint="eastAsia" w:ascii="宋体" w:hAnsi="宋体" w:eastAsia="宋体" w:cs="宋体"/>
          <w:sz w:val="24"/>
          <w:szCs w:val="24"/>
          <w:lang w:val="en-US" w:eastAsia="zh-CN"/>
        </w:rPr>
        <w:t>约定</w:t>
      </w:r>
      <w:r>
        <w:rPr>
          <w:rFonts w:hint="eastAsia" w:ascii="宋体" w:hAnsi="宋体" w:eastAsia="宋体" w:cs="宋体"/>
          <w:sz w:val="24"/>
          <w:szCs w:val="24"/>
        </w:rPr>
        <w:t>的有效期限内完成全部货物的提运，不得以任何理由拖延</w:t>
      </w:r>
      <w:r>
        <w:rPr>
          <w:rFonts w:hint="eastAsia" w:ascii="宋体" w:hAnsi="宋体" w:eastAsia="宋体" w:cs="宋体"/>
          <w:sz w:val="24"/>
          <w:szCs w:val="24"/>
          <w:lang w:val="en-US" w:eastAsia="zh-CN"/>
        </w:rPr>
        <w:t>时间</w:t>
      </w:r>
      <w:r>
        <w:rPr>
          <w:rFonts w:hint="eastAsia" w:ascii="宋体" w:hAnsi="宋体" w:eastAsia="宋体" w:cs="宋体"/>
          <w:sz w:val="24"/>
          <w:szCs w:val="24"/>
        </w:rPr>
        <w:t>或停止货物的提运，否则甲方有权</w:t>
      </w:r>
      <w:r>
        <w:rPr>
          <w:rFonts w:hint="eastAsia" w:ascii="宋体" w:hAnsi="宋体" w:eastAsia="宋体" w:cs="宋体"/>
          <w:color w:val="auto"/>
          <w:sz w:val="24"/>
          <w:szCs w:val="24"/>
          <w:lang w:val="en-US" w:eastAsia="zh-CN"/>
        </w:rPr>
        <w:t>另行安排其它单位提货，并要求乙方按第十二条约定承担违约责任</w:t>
      </w:r>
      <w:r>
        <w:rPr>
          <w:rFonts w:hint="eastAsia" w:ascii="宋体" w:hAnsi="宋体" w:eastAsia="宋体" w:cs="宋体"/>
          <w:b w:val="0"/>
          <w:bCs w:val="0"/>
          <w:color w:val="auto"/>
          <w:sz w:val="24"/>
          <w:szCs w:val="24"/>
        </w:rPr>
        <w:t>。</w:t>
      </w:r>
    </w:p>
    <w:p w14:paraId="056178B8">
      <w:pPr>
        <w:numPr>
          <w:ilvl w:val="0"/>
          <w:numId w:val="0"/>
        </w:numPr>
        <w:spacing w:line="360" w:lineRule="auto"/>
        <w:ind w:leftChars="0"/>
        <w:rPr>
          <w:rFonts w:hint="eastAsia" w:ascii="宋体" w:hAnsi="宋体" w:eastAsia="宋体" w:cs="宋体"/>
          <w:sz w:val="24"/>
          <w:szCs w:val="24"/>
        </w:rPr>
      </w:pPr>
      <w:r>
        <w:rPr>
          <w:rFonts w:hint="eastAsia" w:ascii="宋体" w:hAnsi="宋体" w:eastAsia="宋体" w:cs="宋体"/>
          <w:sz w:val="24"/>
          <w:szCs w:val="24"/>
          <w:lang w:val="en-US" w:eastAsia="zh-CN"/>
        </w:rPr>
        <w:t xml:space="preserve">九、 </w:t>
      </w:r>
      <w:r>
        <w:rPr>
          <w:rFonts w:hint="eastAsia" w:ascii="宋体" w:hAnsi="宋体" w:eastAsia="宋体" w:cs="宋体"/>
          <w:sz w:val="24"/>
          <w:szCs w:val="24"/>
        </w:rPr>
        <w:t>甲</w:t>
      </w:r>
      <w:r>
        <w:rPr>
          <w:rFonts w:hint="eastAsia" w:ascii="宋体" w:hAnsi="宋体" w:eastAsia="宋体" w:cs="宋体"/>
          <w:sz w:val="24"/>
          <w:szCs w:val="24"/>
          <w:lang w:eastAsia="zh-CN"/>
        </w:rPr>
        <w:t>、</w:t>
      </w:r>
      <w:r>
        <w:rPr>
          <w:rFonts w:hint="eastAsia" w:ascii="宋体" w:hAnsi="宋体" w:eastAsia="宋体" w:cs="宋体"/>
          <w:sz w:val="24"/>
          <w:szCs w:val="24"/>
        </w:rPr>
        <w:t>乙</w:t>
      </w:r>
      <w:r>
        <w:rPr>
          <w:rFonts w:hint="eastAsia" w:ascii="宋体" w:hAnsi="宋体" w:eastAsia="宋体" w:cs="宋体"/>
          <w:sz w:val="24"/>
          <w:szCs w:val="24"/>
          <w:lang w:val="en-US" w:eastAsia="zh-CN"/>
        </w:rPr>
        <w:t>双方</w:t>
      </w:r>
      <w:r>
        <w:rPr>
          <w:rFonts w:hint="eastAsia" w:ascii="宋体" w:hAnsi="宋体" w:eastAsia="宋体" w:cs="宋体"/>
          <w:sz w:val="24"/>
          <w:szCs w:val="24"/>
        </w:rPr>
        <w:t>任何一方由于不可抗力原因不能履行合同时，应在事件发生后三日内</w:t>
      </w:r>
    </w:p>
    <w:p w14:paraId="517603AA">
      <w:pPr>
        <w:pStyle w:val="14"/>
        <w:numPr>
          <w:ilvl w:val="0"/>
          <w:numId w:val="0"/>
        </w:numPr>
        <w:tabs>
          <w:tab w:val="left" w:pos="2286"/>
        </w:tabs>
        <w:spacing w:line="360" w:lineRule="auto"/>
        <w:rPr>
          <w:rFonts w:hint="eastAsia" w:ascii="宋体" w:hAnsi="宋体" w:eastAsia="宋体" w:cs="宋体"/>
          <w:sz w:val="24"/>
          <w:szCs w:val="24"/>
        </w:rPr>
      </w:pPr>
      <w:r>
        <w:rPr>
          <w:rFonts w:hint="eastAsia" w:ascii="宋体" w:hAnsi="宋体" w:eastAsia="宋体" w:cs="宋体"/>
          <w:sz w:val="24"/>
          <w:szCs w:val="24"/>
        </w:rPr>
        <w:t>将事件的情况以书面形式通知另一方，并在事件发生后十日内，向另一方提交合同不能履行或部分不能履行或需要延期履行理由的报告，并减轻给对方造成的不必要的损失，但延迟履行后发生不可抗力的，不能免除迟延履行的责任。</w:t>
      </w:r>
    </w:p>
    <w:p w14:paraId="7081D02B">
      <w:pPr>
        <w:pStyle w:val="14"/>
        <w:numPr>
          <w:ilvl w:val="-1"/>
          <w:numId w:val="0"/>
        </w:numPr>
        <w:tabs>
          <w:tab w:val="left" w:pos="2286"/>
        </w:tabs>
        <w:spacing w:line="360" w:lineRule="auto"/>
        <w:ind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十、违约责任</w:t>
      </w:r>
    </w:p>
    <w:p w14:paraId="57A35253">
      <w:pPr>
        <w:pStyle w:val="14"/>
        <w:numPr>
          <w:ilvl w:val="-1"/>
          <w:numId w:val="0"/>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i w:val="0"/>
          <w:iCs w:val="0"/>
          <w:caps w:val="0"/>
          <w:spacing w:val="0"/>
          <w:sz w:val="24"/>
          <w:szCs w:val="24"/>
          <w:shd w:val="clear" w:fill="auto"/>
        </w:rPr>
        <w:t>乙方未在合同有效期内完成全部提货，或单批次提货延迟超过 3 个工作日，每逾期 1 日按合同总金额的 1‰向甲方支付违约金；逾期超过 5 日，甲方有权解除合同，乙方需赔偿甲方合同总金额 20% 的违约</w:t>
      </w:r>
      <w:r>
        <w:rPr>
          <w:rFonts w:hint="eastAsia" w:ascii="宋体" w:hAnsi="宋体" w:eastAsia="宋体" w:cs="宋体"/>
          <w:sz w:val="24"/>
          <w:szCs w:val="24"/>
          <w:lang w:val="en-US" w:eastAsia="zh-CN"/>
        </w:rPr>
        <w:t>。</w:t>
      </w:r>
    </w:p>
    <w:p w14:paraId="582C8CEB">
      <w:pPr>
        <w:pStyle w:val="14"/>
        <w:numPr>
          <w:ilvl w:val="-1"/>
          <w:numId w:val="0"/>
        </w:numPr>
        <w:spacing w:line="360" w:lineRule="auto"/>
        <w:ind w:firstLine="480" w:firstLineChars="200"/>
        <w:rPr>
          <w:rFonts w:hint="eastAsia" w:ascii="宋体" w:hAnsi="宋体" w:eastAsia="宋体" w:cs="宋体"/>
          <w:sz w:val="24"/>
          <w:szCs w:val="24"/>
          <w:lang w:val="en-US" w:eastAsia="zh-CN"/>
        </w:rPr>
      </w:pPr>
    </w:p>
    <w:p w14:paraId="24C39D90">
      <w:pPr>
        <w:numPr>
          <w:ilvl w:val="0"/>
          <w:numId w:val="0"/>
        </w:numPr>
        <w:tabs>
          <w:tab w:val="left" w:pos="2286"/>
        </w:tabs>
        <w:spacing w:line="360" w:lineRule="auto"/>
        <w:ind w:leftChars="0"/>
        <w:rPr>
          <w:rFonts w:hint="eastAsia" w:ascii="宋体" w:hAnsi="宋体" w:eastAsia="宋体" w:cs="宋体"/>
          <w:sz w:val="24"/>
          <w:szCs w:val="24"/>
        </w:rPr>
      </w:pPr>
      <w:r>
        <w:rPr>
          <w:rFonts w:hint="eastAsia" w:ascii="宋体" w:hAnsi="宋体" w:eastAsia="宋体" w:cs="宋体"/>
          <w:sz w:val="24"/>
          <w:szCs w:val="24"/>
          <w:lang w:val="en-US" w:eastAsia="zh-CN"/>
        </w:rPr>
        <w:t>十一、</w:t>
      </w:r>
      <w:r>
        <w:rPr>
          <w:rFonts w:hint="eastAsia" w:ascii="宋体" w:hAnsi="宋体" w:eastAsia="宋体" w:cs="宋体"/>
          <w:sz w:val="24"/>
          <w:szCs w:val="24"/>
        </w:rPr>
        <w:t>本合同自双方盖章后生效，一式肆份，双方各执两份，具有同等法律效</w:t>
      </w:r>
      <w:r>
        <w:rPr>
          <w:rFonts w:hint="eastAsia" w:ascii="宋体" w:hAnsi="宋体" w:eastAsia="宋体" w:cs="宋体"/>
          <w:sz w:val="24"/>
          <w:szCs w:val="24"/>
          <w:lang w:val="en-US" w:eastAsia="zh-CN"/>
        </w:rPr>
        <w:t>力</w:t>
      </w:r>
      <w:r>
        <w:rPr>
          <w:rFonts w:hint="eastAsia" w:ascii="宋体" w:hAnsi="宋体" w:eastAsia="宋体" w:cs="宋体"/>
          <w:sz w:val="24"/>
          <w:szCs w:val="24"/>
        </w:rPr>
        <w:t>。本合同如有其它未尽事宜，双方应通过订立补充协议约定，补充协议是本合同不可分割的一部分，与本合同具有同等法律效</w:t>
      </w:r>
      <w:r>
        <w:rPr>
          <w:rFonts w:hint="eastAsia" w:ascii="宋体" w:hAnsi="宋体" w:eastAsia="宋体" w:cs="宋体"/>
          <w:sz w:val="24"/>
          <w:szCs w:val="24"/>
          <w:lang w:val="en-US" w:eastAsia="zh-CN"/>
        </w:rPr>
        <w:t>力</w:t>
      </w:r>
      <w:r>
        <w:rPr>
          <w:rFonts w:hint="eastAsia" w:ascii="宋体" w:hAnsi="宋体" w:eastAsia="宋体" w:cs="宋体"/>
          <w:sz w:val="24"/>
          <w:szCs w:val="24"/>
        </w:rPr>
        <w:t>。</w:t>
      </w:r>
    </w:p>
    <w:p w14:paraId="2EEAADF3">
      <w:pPr>
        <w:numPr>
          <w:ilvl w:val="0"/>
          <w:numId w:val="0"/>
        </w:numPr>
        <w:tabs>
          <w:tab w:val="left" w:pos="2286"/>
        </w:tabs>
        <w:spacing w:line="360" w:lineRule="auto"/>
        <w:ind w:leftChars="0"/>
        <w:rPr>
          <w:rFonts w:hint="eastAsia" w:ascii="宋体" w:hAnsi="宋体" w:eastAsia="宋体" w:cs="宋体"/>
          <w:sz w:val="24"/>
          <w:szCs w:val="24"/>
        </w:rPr>
      </w:pPr>
      <w:r>
        <w:rPr>
          <w:rFonts w:hint="eastAsia" w:ascii="宋体" w:hAnsi="宋体" w:eastAsia="宋体" w:cs="宋体"/>
          <w:sz w:val="24"/>
          <w:szCs w:val="24"/>
          <w:lang w:val="en-US" w:eastAsia="zh-CN"/>
        </w:rPr>
        <w:t>十二、</w:t>
      </w:r>
      <w:r>
        <w:rPr>
          <w:rFonts w:hint="eastAsia" w:ascii="宋体" w:hAnsi="宋体" w:eastAsia="宋体" w:cs="宋体"/>
          <w:sz w:val="24"/>
          <w:szCs w:val="24"/>
        </w:rPr>
        <w:t>甲</w:t>
      </w:r>
      <w:r>
        <w:rPr>
          <w:rFonts w:hint="eastAsia" w:ascii="宋体" w:hAnsi="宋体" w:eastAsia="宋体" w:cs="宋体"/>
          <w:sz w:val="24"/>
          <w:szCs w:val="24"/>
          <w:lang w:eastAsia="zh-CN"/>
        </w:rPr>
        <w:t>、</w:t>
      </w:r>
      <w:r>
        <w:rPr>
          <w:rFonts w:hint="eastAsia" w:ascii="宋体" w:hAnsi="宋体" w:eastAsia="宋体" w:cs="宋体"/>
          <w:sz w:val="24"/>
          <w:szCs w:val="24"/>
        </w:rPr>
        <w:t>乙双方有争议，优先协商解决，协商不成，双方一致同意向</w:t>
      </w:r>
      <w:r>
        <w:rPr>
          <w:rFonts w:hint="eastAsia" w:ascii="宋体" w:hAnsi="宋体" w:eastAsia="宋体" w:cs="宋体"/>
          <w:sz w:val="24"/>
          <w:szCs w:val="24"/>
          <w:lang w:val="en-US" w:eastAsia="zh-CN"/>
        </w:rPr>
        <w:t>湛江</w:t>
      </w:r>
      <w:r>
        <w:rPr>
          <w:rFonts w:hint="eastAsia" w:ascii="宋体" w:hAnsi="宋体" w:eastAsia="宋体" w:cs="宋体"/>
          <w:sz w:val="24"/>
          <w:szCs w:val="24"/>
        </w:rPr>
        <w:t>市</w:t>
      </w:r>
      <w:r>
        <w:rPr>
          <w:rFonts w:hint="eastAsia" w:ascii="宋体" w:hAnsi="宋体" w:eastAsia="宋体" w:cs="宋体"/>
          <w:sz w:val="24"/>
          <w:szCs w:val="24"/>
          <w:lang w:val="en-US" w:eastAsia="zh-CN"/>
        </w:rPr>
        <w:t>经济开发区</w:t>
      </w:r>
      <w:r>
        <w:rPr>
          <w:rFonts w:hint="eastAsia" w:ascii="宋体" w:hAnsi="宋体" w:eastAsia="宋体" w:cs="宋体"/>
          <w:sz w:val="24"/>
          <w:szCs w:val="24"/>
        </w:rPr>
        <w:t>人民法院提起诉讼。</w:t>
      </w:r>
    </w:p>
    <w:p w14:paraId="0C39F806">
      <w:pPr>
        <w:pStyle w:val="2"/>
        <w:rPr>
          <w:rFonts w:hint="eastAsia" w:ascii="宋体" w:hAnsi="宋体" w:eastAsia="宋体" w:cs="宋体"/>
          <w:sz w:val="24"/>
          <w:szCs w:val="24"/>
        </w:rPr>
      </w:pPr>
    </w:p>
    <w:tbl>
      <w:tblPr>
        <w:tblStyle w:val="12"/>
        <w:tblW w:w="9989" w:type="dxa"/>
        <w:tblInd w:w="33"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15" w:type="dxa"/>
          <w:left w:w="15" w:type="dxa"/>
          <w:bottom w:w="15" w:type="dxa"/>
          <w:right w:w="15" w:type="dxa"/>
        </w:tblCellMar>
      </w:tblPr>
      <w:tblGrid>
        <w:gridCol w:w="1724"/>
        <w:gridCol w:w="3567"/>
        <w:gridCol w:w="1708"/>
        <w:gridCol w:w="2615"/>
        <w:gridCol w:w="375"/>
      </w:tblGrid>
      <w:tr w14:paraId="7DD80A3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cantSplit/>
          <w:trHeight w:val="277" w:hRule="atLeast"/>
        </w:trPr>
        <w:tc>
          <w:tcPr>
            <w:tcW w:w="5291" w:type="dxa"/>
            <w:gridSpan w:val="2"/>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39D66CB">
            <w:pPr>
              <w:widowControl/>
              <w:jc w:val="left"/>
              <w:rPr>
                <w:rFonts w:hint="eastAsia" w:ascii="宋体" w:hAnsi="宋体" w:eastAsia="宋体" w:cs="宋体"/>
                <w:sz w:val="24"/>
                <w:szCs w:val="24"/>
              </w:rPr>
            </w:pPr>
            <w:r>
              <w:rPr>
                <w:rFonts w:hint="eastAsia" w:ascii="宋体" w:hAnsi="宋体" w:eastAsia="宋体" w:cs="宋体"/>
                <w:sz w:val="24"/>
                <w:szCs w:val="24"/>
              </w:rPr>
              <w:t>甲</w:t>
            </w:r>
            <w:r>
              <w:rPr>
                <w:rFonts w:hint="eastAsia" w:ascii="宋体" w:hAnsi="宋体" w:eastAsia="宋体" w:cs="宋体"/>
                <w:kern w:val="0"/>
                <w:sz w:val="24"/>
                <w:szCs w:val="24"/>
                <w:lang w:bidi="ar"/>
              </w:rPr>
              <w:t>方(盖章)</w:t>
            </w:r>
          </w:p>
        </w:tc>
        <w:tc>
          <w:tcPr>
            <w:tcW w:w="4698" w:type="dxa"/>
            <w:gridSpan w:val="3"/>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1CAD1F0">
            <w:pPr>
              <w:widowControl/>
              <w:jc w:val="left"/>
              <w:rPr>
                <w:rFonts w:hint="eastAsia" w:ascii="宋体" w:hAnsi="宋体" w:eastAsia="宋体" w:cs="宋体"/>
                <w:sz w:val="24"/>
                <w:szCs w:val="24"/>
              </w:rPr>
            </w:pPr>
            <w:r>
              <w:rPr>
                <w:rFonts w:hint="eastAsia" w:ascii="宋体" w:hAnsi="宋体" w:eastAsia="宋体" w:cs="宋体"/>
                <w:sz w:val="24"/>
                <w:szCs w:val="24"/>
              </w:rPr>
              <w:t>乙</w:t>
            </w:r>
            <w:r>
              <w:rPr>
                <w:rFonts w:hint="eastAsia" w:ascii="宋体" w:hAnsi="宋体" w:eastAsia="宋体" w:cs="宋体"/>
                <w:kern w:val="0"/>
                <w:sz w:val="24"/>
                <w:szCs w:val="24"/>
                <w:lang w:bidi="ar"/>
              </w:rPr>
              <w:t>方（盖章）</w:t>
            </w:r>
          </w:p>
        </w:tc>
      </w:tr>
      <w:tr w14:paraId="2D065A2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cantSplit/>
          <w:trHeight w:val="514" w:hRule="atLeast"/>
        </w:trPr>
        <w:tc>
          <w:tcPr>
            <w:tcW w:w="5291"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6E9370D">
            <w:pPr>
              <w:tabs>
                <w:tab w:val="left" w:pos="2286"/>
              </w:tabs>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珠海红塔仁恒新材料有限公司</w:t>
            </w:r>
          </w:p>
        </w:tc>
        <w:tc>
          <w:tcPr>
            <w:tcW w:w="4698" w:type="dxa"/>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6C9B6FD">
            <w:pPr>
              <w:widowControl/>
              <w:jc w:val="center"/>
              <w:rPr>
                <w:rFonts w:hint="eastAsia" w:ascii="宋体" w:hAnsi="宋体" w:eastAsia="宋体" w:cs="宋体"/>
                <w:sz w:val="24"/>
                <w:szCs w:val="24"/>
              </w:rPr>
            </w:pPr>
          </w:p>
        </w:tc>
      </w:tr>
      <w:tr w14:paraId="11AA522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70" w:hRule="atLeast"/>
        </w:trPr>
        <w:tc>
          <w:tcPr>
            <w:tcW w:w="172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C97EE62">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法定代表人</w:t>
            </w:r>
          </w:p>
        </w:tc>
        <w:tc>
          <w:tcPr>
            <w:tcW w:w="35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25AF05A">
            <w:pPr>
              <w:widowControl/>
              <w:jc w:val="left"/>
              <w:rPr>
                <w:rFonts w:hint="eastAsia" w:ascii="宋体" w:hAnsi="宋体" w:eastAsia="宋体" w:cs="宋体"/>
                <w:sz w:val="24"/>
                <w:szCs w:val="24"/>
              </w:rPr>
            </w:pPr>
          </w:p>
        </w:tc>
        <w:tc>
          <w:tcPr>
            <w:tcW w:w="1708" w:type="dxa"/>
            <w:tcBorders>
              <w:top w:val="single" w:color="auto" w:sz="8" w:space="0"/>
              <w:left w:val="nil"/>
              <w:bottom w:val="single" w:color="auto" w:sz="4" w:space="0"/>
              <w:right w:val="single" w:color="auto" w:sz="4" w:space="0"/>
            </w:tcBorders>
            <w:shd w:val="clear" w:color="auto" w:fill="FFFFFF"/>
            <w:tcMar>
              <w:top w:w="0" w:type="dxa"/>
              <w:left w:w="108" w:type="dxa"/>
              <w:bottom w:w="0" w:type="dxa"/>
              <w:right w:w="108" w:type="dxa"/>
            </w:tcMar>
            <w:vAlign w:val="center"/>
          </w:tcPr>
          <w:p w14:paraId="35348D2E">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法定代表人</w:t>
            </w:r>
          </w:p>
        </w:tc>
        <w:tc>
          <w:tcPr>
            <w:tcW w:w="2615" w:type="dxa"/>
            <w:tcBorders>
              <w:top w:val="single" w:color="auto" w:sz="8" w:space="0"/>
              <w:left w:val="single" w:color="auto" w:sz="4" w:space="0"/>
              <w:bottom w:val="single" w:color="auto" w:sz="4" w:space="0"/>
              <w:right w:val="nil"/>
            </w:tcBorders>
            <w:shd w:val="clear" w:color="auto" w:fill="FFFFFF"/>
            <w:tcMar>
              <w:top w:w="0" w:type="dxa"/>
              <w:left w:w="108" w:type="dxa"/>
              <w:bottom w:w="0" w:type="dxa"/>
              <w:right w:w="108" w:type="dxa"/>
            </w:tcMar>
            <w:vAlign w:val="center"/>
          </w:tcPr>
          <w:p w14:paraId="17BB9E72">
            <w:pPr>
              <w:widowControl/>
              <w:jc w:val="center"/>
              <w:rPr>
                <w:rFonts w:hint="default" w:ascii="宋体" w:hAnsi="宋体" w:eastAsia="宋体" w:cs="宋体"/>
                <w:kern w:val="0"/>
                <w:sz w:val="24"/>
                <w:szCs w:val="24"/>
                <w:lang w:val="en-US" w:eastAsia="zh-CN" w:bidi="ar"/>
              </w:rPr>
            </w:pPr>
          </w:p>
        </w:tc>
        <w:tc>
          <w:tcPr>
            <w:tcW w:w="375" w:type="dxa"/>
            <w:tcBorders>
              <w:top w:val="single" w:color="auto" w:sz="8" w:space="0"/>
              <w:left w:val="nil"/>
              <w:bottom w:val="single" w:color="auto" w:sz="4" w:space="0"/>
              <w:right w:val="single" w:color="auto" w:sz="8" w:space="0"/>
            </w:tcBorders>
            <w:shd w:val="clear" w:color="auto" w:fill="FFFFFF"/>
            <w:tcMar>
              <w:top w:w="0" w:type="dxa"/>
              <w:left w:w="108" w:type="dxa"/>
              <w:bottom w:w="0" w:type="dxa"/>
              <w:right w:w="108" w:type="dxa"/>
            </w:tcMar>
            <w:vAlign w:val="center"/>
          </w:tcPr>
          <w:p w14:paraId="5B2786CB">
            <w:pPr>
              <w:widowControl/>
              <w:rPr>
                <w:rFonts w:hint="eastAsia" w:ascii="宋体" w:hAnsi="宋体" w:eastAsia="宋体" w:cs="宋体"/>
                <w:sz w:val="24"/>
                <w:szCs w:val="24"/>
              </w:rPr>
            </w:pPr>
          </w:p>
        </w:tc>
      </w:tr>
      <w:tr w14:paraId="0C27A39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62" w:hRule="atLeast"/>
        </w:trPr>
        <w:tc>
          <w:tcPr>
            <w:tcW w:w="172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2DDEC33">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签约代表签字</w:t>
            </w:r>
          </w:p>
        </w:tc>
        <w:tc>
          <w:tcPr>
            <w:tcW w:w="356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B33FB9D">
            <w:pPr>
              <w:widowControl/>
              <w:jc w:val="left"/>
              <w:rPr>
                <w:rFonts w:hint="eastAsia" w:ascii="宋体" w:hAnsi="宋体" w:eastAsia="宋体" w:cs="宋体"/>
                <w:sz w:val="24"/>
                <w:szCs w:val="24"/>
                <w:lang w:eastAsia="zh-CN"/>
              </w:rPr>
            </w:pPr>
          </w:p>
        </w:tc>
        <w:tc>
          <w:tcPr>
            <w:tcW w:w="17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C4AF1AC">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签约代表签字</w:t>
            </w:r>
          </w:p>
        </w:tc>
        <w:tc>
          <w:tcPr>
            <w:tcW w:w="2990"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83113DA">
            <w:pPr>
              <w:widowControl/>
              <w:rPr>
                <w:rFonts w:hint="eastAsia" w:ascii="宋体" w:hAnsi="宋体" w:eastAsia="宋体" w:cs="宋体"/>
                <w:sz w:val="24"/>
                <w:szCs w:val="24"/>
                <w:lang w:val="en-US" w:eastAsia="zh-CN"/>
              </w:rPr>
            </w:pPr>
          </w:p>
        </w:tc>
      </w:tr>
      <w:tr w14:paraId="31B4D0E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79" w:hRule="atLeast"/>
        </w:trPr>
        <w:tc>
          <w:tcPr>
            <w:tcW w:w="172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1F42443">
            <w:pPr>
              <w:widowControl/>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签约时间</w:t>
            </w:r>
          </w:p>
        </w:tc>
        <w:tc>
          <w:tcPr>
            <w:tcW w:w="356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B8CA5FC">
            <w:pPr>
              <w:widowControl/>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 </w:t>
            </w:r>
          </w:p>
        </w:tc>
        <w:tc>
          <w:tcPr>
            <w:tcW w:w="17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B133609">
            <w:pPr>
              <w:widowControl/>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签约时间</w:t>
            </w:r>
          </w:p>
        </w:tc>
        <w:tc>
          <w:tcPr>
            <w:tcW w:w="2990"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137A935">
            <w:pPr>
              <w:widowControl/>
              <w:rPr>
                <w:rFonts w:hint="default" w:ascii="宋体" w:hAnsi="宋体" w:eastAsia="宋体" w:cs="宋体"/>
                <w:kern w:val="0"/>
                <w:sz w:val="24"/>
                <w:szCs w:val="24"/>
                <w:lang w:val="en-US" w:eastAsia="zh-CN" w:bidi="ar"/>
              </w:rPr>
            </w:pPr>
          </w:p>
        </w:tc>
      </w:tr>
      <w:tr w14:paraId="3A2B3CC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27" w:hRule="atLeast"/>
        </w:trPr>
        <w:tc>
          <w:tcPr>
            <w:tcW w:w="172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EB57B0D">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地址</w:t>
            </w:r>
          </w:p>
        </w:tc>
        <w:tc>
          <w:tcPr>
            <w:tcW w:w="35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7B472AF">
            <w:pPr>
              <w:widowControl/>
              <w:jc w:val="left"/>
              <w:rPr>
                <w:rFonts w:hint="eastAsia" w:ascii="宋体" w:hAnsi="宋体" w:eastAsia="宋体" w:cs="宋体"/>
                <w:kern w:val="0"/>
                <w:sz w:val="24"/>
                <w:szCs w:val="24"/>
                <w:lang w:val="en-US" w:eastAsia="zh-CN" w:bidi="ar"/>
              </w:rPr>
            </w:pPr>
            <w:r>
              <w:rPr>
                <w:rFonts w:hint="eastAsia" w:ascii="宋体" w:hAnsi="宋体" w:cs="宋体"/>
                <w:color w:val="auto"/>
                <w:sz w:val="24"/>
                <w:szCs w:val="24"/>
                <w:lang w:val="en-US" w:eastAsia="zh-CN"/>
              </w:rPr>
              <w:t>珠海市金湾区高栏港</w:t>
            </w:r>
            <w:r>
              <w:rPr>
                <w:rFonts w:hint="eastAsia" w:ascii="宋体" w:hAnsi="宋体" w:eastAsia="宋体" w:cs="宋体"/>
                <w:color w:val="auto"/>
                <w:sz w:val="24"/>
                <w:szCs w:val="24"/>
              </w:rPr>
              <w:t>大道</w:t>
            </w:r>
            <w:r>
              <w:rPr>
                <w:rFonts w:hint="eastAsia" w:ascii="宋体" w:hAnsi="宋体" w:cs="宋体"/>
                <w:color w:val="auto"/>
                <w:sz w:val="24"/>
                <w:szCs w:val="24"/>
                <w:lang w:val="en-US" w:eastAsia="zh-CN"/>
              </w:rPr>
              <w:t>2800</w:t>
            </w:r>
            <w:r>
              <w:rPr>
                <w:rFonts w:hint="eastAsia" w:ascii="宋体" w:hAnsi="宋体" w:eastAsia="宋体" w:cs="宋体"/>
                <w:color w:val="auto"/>
                <w:sz w:val="24"/>
                <w:szCs w:val="24"/>
              </w:rPr>
              <w:t>号</w:t>
            </w:r>
          </w:p>
        </w:tc>
        <w:tc>
          <w:tcPr>
            <w:tcW w:w="1708" w:type="dxa"/>
            <w:tcBorders>
              <w:top w:val="nil"/>
              <w:left w:val="nil"/>
              <w:bottom w:val="single" w:color="auto" w:sz="8" w:space="0"/>
              <w:right w:val="single" w:color="auto" w:sz="4" w:space="0"/>
            </w:tcBorders>
            <w:shd w:val="clear" w:color="auto" w:fill="FFFFFF"/>
            <w:tcMar>
              <w:top w:w="0" w:type="dxa"/>
              <w:left w:w="108" w:type="dxa"/>
              <w:bottom w:w="0" w:type="dxa"/>
              <w:right w:w="108" w:type="dxa"/>
            </w:tcMar>
            <w:vAlign w:val="center"/>
          </w:tcPr>
          <w:p w14:paraId="1138C5A3">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地址</w:t>
            </w:r>
          </w:p>
        </w:tc>
        <w:tc>
          <w:tcPr>
            <w:tcW w:w="2990" w:type="dxa"/>
            <w:gridSpan w:val="2"/>
            <w:tcBorders>
              <w:top w:val="nil"/>
              <w:left w:val="single" w:color="auto" w:sz="4" w:space="0"/>
              <w:bottom w:val="single" w:color="auto" w:sz="8" w:space="0"/>
              <w:right w:val="single" w:color="auto" w:sz="8" w:space="0"/>
            </w:tcBorders>
            <w:shd w:val="clear" w:color="auto" w:fill="FFFFFF"/>
            <w:tcMar>
              <w:top w:w="0" w:type="dxa"/>
              <w:left w:w="108" w:type="dxa"/>
              <w:bottom w:w="0" w:type="dxa"/>
              <w:right w:w="108" w:type="dxa"/>
            </w:tcMar>
            <w:vAlign w:val="center"/>
          </w:tcPr>
          <w:p w14:paraId="09E1D7FC">
            <w:pPr>
              <w:widowControl/>
              <w:rPr>
                <w:rFonts w:hint="default" w:ascii="宋体" w:hAnsi="宋体" w:eastAsia="宋体" w:cs="宋体"/>
                <w:kern w:val="0"/>
                <w:sz w:val="24"/>
                <w:szCs w:val="24"/>
                <w:lang w:val="en-US" w:eastAsia="zh-CN" w:bidi="ar"/>
              </w:rPr>
            </w:pPr>
          </w:p>
        </w:tc>
      </w:tr>
      <w:tr w14:paraId="44816F2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79" w:hRule="atLeast"/>
        </w:trPr>
        <w:tc>
          <w:tcPr>
            <w:tcW w:w="172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9468689">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电话</w:t>
            </w:r>
          </w:p>
        </w:tc>
        <w:tc>
          <w:tcPr>
            <w:tcW w:w="35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15D5A0A">
            <w:pPr>
              <w:widowControl/>
              <w:jc w:val="left"/>
              <w:rPr>
                <w:rFonts w:hint="eastAsia" w:ascii="宋体" w:hAnsi="宋体" w:eastAsia="宋体" w:cs="宋体"/>
                <w:kern w:val="0"/>
                <w:sz w:val="24"/>
                <w:szCs w:val="24"/>
                <w:lang w:val="en-US" w:eastAsia="zh-CN" w:bidi="ar"/>
              </w:rPr>
            </w:pPr>
          </w:p>
        </w:tc>
        <w:tc>
          <w:tcPr>
            <w:tcW w:w="1708" w:type="dxa"/>
            <w:tcBorders>
              <w:top w:val="nil"/>
              <w:left w:val="nil"/>
              <w:bottom w:val="single" w:color="auto" w:sz="8" w:space="0"/>
              <w:right w:val="single" w:color="auto" w:sz="4" w:space="0"/>
            </w:tcBorders>
            <w:shd w:val="clear" w:color="auto" w:fill="FFFFFF"/>
            <w:tcMar>
              <w:top w:w="0" w:type="dxa"/>
              <w:left w:w="108" w:type="dxa"/>
              <w:bottom w:w="0" w:type="dxa"/>
              <w:right w:w="108" w:type="dxa"/>
            </w:tcMar>
            <w:vAlign w:val="center"/>
          </w:tcPr>
          <w:p w14:paraId="0B31DB40">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电话</w:t>
            </w:r>
          </w:p>
        </w:tc>
        <w:tc>
          <w:tcPr>
            <w:tcW w:w="2990" w:type="dxa"/>
            <w:gridSpan w:val="2"/>
            <w:tcBorders>
              <w:top w:val="nil"/>
              <w:left w:val="single" w:color="auto" w:sz="4" w:space="0"/>
              <w:bottom w:val="single" w:color="auto" w:sz="8" w:space="0"/>
              <w:right w:val="single" w:color="auto" w:sz="8" w:space="0"/>
            </w:tcBorders>
            <w:shd w:val="clear" w:color="auto" w:fill="FFFFFF"/>
            <w:tcMar>
              <w:top w:w="0" w:type="dxa"/>
              <w:left w:w="108" w:type="dxa"/>
              <w:bottom w:w="0" w:type="dxa"/>
              <w:right w:w="108" w:type="dxa"/>
            </w:tcMar>
            <w:vAlign w:val="center"/>
          </w:tcPr>
          <w:p w14:paraId="02768C87">
            <w:pPr>
              <w:widowControl/>
              <w:jc w:val="center"/>
              <w:rPr>
                <w:rFonts w:hint="default" w:ascii="宋体" w:hAnsi="宋体" w:eastAsia="宋体" w:cs="宋体"/>
                <w:kern w:val="0"/>
                <w:sz w:val="24"/>
                <w:szCs w:val="24"/>
                <w:lang w:val="en-US" w:eastAsia="zh-CN" w:bidi="ar"/>
              </w:rPr>
            </w:pPr>
          </w:p>
        </w:tc>
      </w:tr>
      <w:tr w14:paraId="20F658E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10" w:hRule="atLeast"/>
        </w:trPr>
        <w:tc>
          <w:tcPr>
            <w:tcW w:w="172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A026449">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邮箱</w:t>
            </w:r>
          </w:p>
        </w:tc>
        <w:tc>
          <w:tcPr>
            <w:tcW w:w="35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C054E01">
            <w:pPr>
              <w:widowControl/>
              <w:jc w:val="left"/>
              <w:rPr>
                <w:rFonts w:hint="eastAsia" w:ascii="宋体" w:hAnsi="宋体" w:eastAsia="宋体" w:cs="宋体"/>
                <w:kern w:val="0"/>
                <w:sz w:val="24"/>
                <w:szCs w:val="24"/>
                <w:lang w:val="en-US" w:eastAsia="zh-CN" w:bidi="ar"/>
              </w:rPr>
            </w:pPr>
          </w:p>
        </w:tc>
        <w:tc>
          <w:tcPr>
            <w:tcW w:w="1708" w:type="dxa"/>
            <w:tcBorders>
              <w:top w:val="nil"/>
              <w:left w:val="nil"/>
              <w:bottom w:val="single" w:color="auto" w:sz="8" w:space="0"/>
              <w:right w:val="single" w:color="auto" w:sz="4" w:space="0"/>
            </w:tcBorders>
            <w:shd w:val="clear" w:color="auto" w:fill="FFFFFF"/>
            <w:tcMar>
              <w:top w:w="0" w:type="dxa"/>
              <w:left w:w="108" w:type="dxa"/>
              <w:bottom w:w="0" w:type="dxa"/>
              <w:right w:w="108" w:type="dxa"/>
            </w:tcMar>
            <w:vAlign w:val="center"/>
          </w:tcPr>
          <w:p w14:paraId="52C7C218">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邮箱</w:t>
            </w:r>
          </w:p>
        </w:tc>
        <w:tc>
          <w:tcPr>
            <w:tcW w:w="2990" w:type="dxa"/>
            <w:gridSpan w:val="2"/>
            <w:tcBorders>
              <w:top w:val="nil"/>
              <w:left w:val="single" w:color="auto" w:sz="4" w:space="0"/>
              <w:bottom w:val="single" w:color="auto" w:sz="8" w:space="0"/>
              <w:right w:val="single" w:color="auto" w:sz="8" w:space="0"/>
            </w:tcBorders>
            <w:shd w:val="clear" w:color="auto" w:fill="FFFFFF"/>
            <w:tcMar>
              <w:top w:w="0" w:type="dxa"/>
              <w:left w:w="108" w:type="dxa"/>
              <w:bottom w:w="0" w:type="dxa"/>
              <w:right w:w="108" w:type="dxa"/>
            </w:tcMar>
            <w:vAlign w:val="center"/>
          </w:tcPr>
          <w:p w14:paraId="5775DAB2">
            <w:pPr>
              <w:widowControl/>
              <w:rPr>
                <w:rFonts w:hint="default" w:ascii="宋体" w:hAnsi="宋体" w:eastAsia="宋体" w:cs="宋体"/>
                <w:kern w:val="0"/>
                <w:sz w:val="24"/>
                <w:szCs w:val="24"/>
                <w:lang w:val="en-US" w:eastAsia="zh-CN" w:bidi="ar"/>
              </w:rPr>
            </w:pPr>
          </w:p>
        </w:tc>
      </w:tr>
      <w:tr w14:paraId="0237ED2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415" w:hRule="atLeast"/>
        </w:trPr>
        <w:tc>
          <w:tcPr>
            <w:tcW w:w="172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4F95FD4">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开户行</w:t>
            </w:r>
          </w:p>
        </w:tc>
        <w:tc>
          <w:tcPr>
            <w:tcW w:w="35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ED5B0CA">
            <w:pPr>
              <w:widowControl/>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中国建设银行珠海金鸡支行</w:t>
            </w:r>
          </w:p>
        </w:tc>
        <w:tc>
          <w:tcPr>
            <w:tcW w:w="1708" w:type="dxa"/>
            <w:tcBorders>
              <w:top w:val="nil"/>
              <w:left w:val="nil"/>
              <w:bottom w:val="single" w:color="auto" w:sz="8" w:space="0"/>
              <w:right w:val="single" w:color="auto" w:sz="4" w:space="0"/>
            </w:tcBorders>
            <w:shd w:val="clear" w:color="auto" w:fill="FFFFFF"/>
            <w:tcMar>
              <w:top w:w="0" w:type="dxa"/>
              <w:left w:w="108" w:type="dxa"/>
              <w:bottom w:w="0" w:type="dxa"/>
              <w:right w:w="108" w:type="dxa"/>
            </w:tcMar>
            <w:vAlign w:val="center"/>
          </w:tcPr>
          <w:p w14:paraId="1E0D619D">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开户行</w:t>
            </w:r>
          </w:p>
        </w:tc>
        <w:tc>
          <w:tcPr>
            <w:tcW w:w="2990" w:type="dxa"/>
            <w:gridSpan w:val="2"/>
            <w:tcBorders>
              <w:top w:val="nil"/>
              <w:left w:val="single" w:color="auto" w:sz="4" w:space="0"/>
              <w:bottom w:val="single" w:color="auto" w:sz="8" w:space="0"/>
              <w:right w:val="single" w:color="auto" w:sz="8" w:space="0"/>
            </w:tcBorders>
            <w:shd w:val="clear" w:color="auto" w:fill="FFFFFF"/>
            <w:tcMar>
              <w:top w:w="0" w:type="dxa"/>
              <w:left w:w="108" w:type="dxa"/>
              <w:bottom w:w="0" w:type="dxa"/>
              <w:right w:w="108" w:type="dxa"/>
            </w:tcMar>
            <w:vAlign w:val="center"/>
          </w:tcPr>
          <w:p w14:paraId="02AA1089">
            <w:pPr>
              <w:widowControl/>
              <w:rPr>
                <w:rFonts w:hint="default" w:ascii="宋体" w:hAnsi="宋体" w:eastAsia="宋体" w:cs="宋体"/>
                <w:kern w:val="0"/>
                <w:sz w:val="24"/>
                <w:szCs w:val="24"/>
                <w:lang w:val="en-US" w:eastAsia="zh-CN" w:bidi="ar"/>
              </w:rPr>
            </w:pPr>
          </w:p>
        </w:tc>
      </w:tr>
      <w:tr w14:paraId="5B6635C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456" w:hRule="atLeast"/>
        </w:trPr>
        <w:tc>
          <w:tcPr>
            <w:tcW w:w="172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7EA9744">
            <w:pPr>
              <w:widowControl/>
              <w:jc w:val="left"/>
              <w:rPr>
                <w:rFonts w:hint="eastAsia" w:ascii="宋体" w:hAnsi="宋体" w:eastAsia="宋体" w:cs="宋体"/>
                <w:sz w:val="24"/>
                <w:szCs w:val="24"/>
              </w:rPr>
            </w:pPr>
            <w:r>
              <w:rPr>
                <w:rFonts w:hint="eastAsia" w:ascii="宋体" w:hAnsi="宋体" w:eastAsia="宋体" w:cs="宋体"/>
                <w:sz w:val="24"/>
                <w:szCs w:val="24"/>
              </w:rPr>
              <w:t>账号</w:t>
            </w:r>
          </w:p>
        </w:tc>
        <w:tc>
          <w:tcPr>
            <w:tcW w:w="35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B7F62FD">
            <w:pPr>
              <w:widowControl/>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44001646441053001515</w:t>
            </w:r>
          </w:p>
        </w:tc>
        <w:tc>
          <w:tcPr>
            <w:tcW w:w="1708" w:type="dxa"/>
            <w:tcBorders>
              <w:top w:val="nil"/>
              <w:left w:val="nil"/>
              <w:bottom w:val="single" w:color="auto" w:sz="8" w:space="0"/>
              <w:right w:val="single" w:color="auto" w:sz="4" w:space="0"/>
            </w:tcBorders>
            <w:shd w:val="clear" w:color="auto" w:fill="FFFFFF"/>
            <w:tcMar>
              <w:top w:w="0" w:type="dxa"/>
              <w:left w:w="108" w:type="dxa"/>
              <w:bottom w:w="0" w:type="dxa"/>
              <w:right w:w="108" w:type="dxa"/>
            </w:tcMar>
            <w:vAlign w:val="center"/>
          </w:tcPr>
          <w:p w14:paraId="321CD906">
            <w:pPr>
              <w:jc w:val="left"/>
              <w:rPr>
                <w:rFonts w:hint="eastAsia" w:ascii="宋体" w:hAnsi="宋体" w:eastAsia="宋体" w:cs="宋体"/>
                <w:sz w:val="24"/>
                <w:szCs w:val="24"/>
              </w:rPr>
            </w:pPr>
            <w:r>
              <w:rPr>
                <w:rFonts w:hint="eastAsia" w:ascii="宋体" w:hAnsi="宋体" w:eastAsia="宋体" w:cs="宋体"/>
                <w:kern w:val="0"/>
                <w:sz w:val="24"/>
                <w:szCs w:val="24"/>
                <w:lang w:bidi="ar"/>
              </w:rPr>
              <w:t>账号</w:t>
            </w:r>
          </w:p>
        </w:tc>
        <w:tc>
          <w:tcPr>
            <w:tcW w:w="2990" w:type="dxa"/>
            <w:gridSpan w:val="2"/>
            <w:tcBorders>
              <w:top w:val="nil"/>
              <w:left w:val="single" w:color="auto" w:sz="4" w:space="0"/>
              <w:bottom w:val="single" w:color="auto" w:sz="8" w:space="0"/>
              <w:right w:val="single" w:color="auto" w:sz="8" w:space="0"/>
            </w:tcBorders>
            <w:shd w:val="clear" w:color="auto" w:fill="FFFFFF"/>
            <w:tcMar>
              <w:top w:w="0" w:type="dxa"/>
              <w:left w:w="108" w:type="dxa"/>
              <w:bottom w:w="0" w:type="dxa"/>
              <w:right w:w="108" w:type="dxa"/>
            </w:tcMar>
            <w:vAlign w:val="center"/>
          </w:tcPr>
          <w:p w14:paraId="7C109F4D">
            <w:pPr>
              <w:rPr>
                <w:rFonts w:hint="default" w:ascii="宋体" w:hAnsi="宋体" w:eastAsia="宋体" w:cs="宋体"/>
                <w:kern w:val="0"/>
                <w:sz w:val="24"/>
                <w:szCs w:val="24"/>
                <w:lang w:val="en-US" w:eastAsia="zh-CN" w:bidi="ar"/>
              </w:rPr>
            </w:pPr>
          </w:p>
        </w:tc>
      </w:tr>
    </w:tbl>
    <w:p w14:paraId="3D9CF66E">
      <w:pPr>
        <w:tabs>
          <w:tab w:val="left" w:pos="2286"/>
        </w:tabs>
        <w:rPr>
          <w:rFonts w:hint="eastAsia" w:ascii="宋体" w:hAnsi="宋体" w:eastAsia="宋体" w:cs="宋体"/>
          <w:b/>
          <w:bCs/>
          <w:sz w:val="24"/>
          <w:szCs w:val="24"/>
        </w:rPr>
      </w:pPr>
    </w:p>
    <w:sectPr>
      <w:footerReference r:id="rId3" w:type="default"/>
      <w:pgSz w:w="11906" w:h="16838"/>
      <w:pgMar w:top="1440" w:right="1066" w:bottom="1440" w:left="11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FC45F">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AC91BA">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4AC91BA">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2B3146"/>
    <w:multiLevelType w:val="singleLevel"/>
    <w:tmpl w:val="7D2B3146"/>
    <w:lvl w:ilvl="0" w:tentative="0">
      <w:start w:val="1"/>
      <w:numFmt w:val="chineseCounting"/>
      <w:suff w:val="nothing"/>
      <w:lvlText w:val="%1、"/>
      <w:lvlJc w:val="left"/>
      <w:pPr>
        <w:ind w:left="-60" w:firstLine="6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NjYTk0N2UzMjY1MTg4NmE3OGY5ZGQ3Njk0OTJlOTAifQ=="/>
  </w:docVars>
  <w:rsids>
    <w:rsidRoot w:val="00A950AB"/>
    <w:rsid w:val="00017EEA"/>
    <w:rsid w:val="00027D0E"/>
    <w:rsid w:val="00043CFF"/>
    <w:rsid w:val="000F51D7"/>
    <w:rsid w:val="00107258"/>
    <w:rsid w:val="00134868"/>
    <w:rsid w:val="00135701"/>
    <w:rsid w:val="001B5B55"/>
    <w:rsid w:val="00211AF8"/>
    <w:rsid w:val="00242B27"/>
    <w:rsid w:val="00252ADC"/>
    <w:rsid w:val="00270621"/>
    <w:rsid w:val="002721AA"/>
    <w:rsid w:val="002866BB"/>
    <w:rsid w:val="002A1523"/>
    <w:rsid w:val="002B61CE"/>
    <w:rsid w:val="003175FC"/>
    <w:rsid w:val="003A7F30"/>
    <w:rsid w:val="003E1339"/>
    <w:rsid w:val="00426763"/>
    <w:rsid w:val="00450A4B"/>
    <w:rsid w:val="004B2971"/>
    <w:rsid w:val="004C1EB8"/>
    <w:rsid w:val="005B5532"/>
    <w:rsid w:val="006570DC"/>
    <w:rsid w:val="0066162F"/>
    <w:rsid w:val="00720A03"/>
    <w:rsid w:val="00766F32"/>
    <w:rsid w:val="007D178E"/>
    <w:rsid w:val="007D6CF8"/>
    <w:rsid w:val="007F4C57"/>
    <w:rsid w:val="00832A32"/>
    <w:rsid w:val="00870733"/>
    <w:rsid w:val="00876561"/>
    <w:rsid w:val="00880409"/>
    <w:rsid w:val="0090437F"/>
    <w:rsid w:val="00913FBD"/>
    <w:rsid w:val="00994874"/>
    <w:rsid w:val="009970A9"/>
    <w:rsid w:val="009C6E5B"/>
    <w:rsid w:val="00A82C9D"/>
    <w:rsid w:val="00A950AB"/>
    <w:rsid w:val="00AE79D0"/>
    <w:rsid w:val="00B97AC1"/>
    <w:rsid w:val="00BA5833"/>
    <w:rsid w:val="00C020AC"/>
    <w:rsid w:val="00C02B4F"/>
    <w:rsid w:val="00D4242B"/>
    <w:rsid w:val="00D83A96"/>
    <w:rsid w:val="00D858A2"/>
    <w:rsid w:val="00DC0125"/>
    <w:rsid w:val="00DD3CB4"/>
    <w:rsid w:val="00DD5462"/>
    <w:rsid w:val="00E05951"/>
    <w:rsid w:val="00EA7977"/>
    <w:rsid w:val="00EC5591"/>
    <w:rsid w:val="00ED66F2"/>
    <w:rsid w:val="00F26708"/>
    <w:rsid w:val="00F41114"/>
    <w:rsid w:val="00F6417E"/>
    <w:rsid w:val="00F77076"/>
    <w:rsid w:val="00FC7728"/>
    <w:rsid w:val="010E0C61"/>
    <w:rsid w:val="01F21258"/>
    <w:rsid w:val="03F14913"/>
    <w:rsid w:val="05CC5530"/>
    <w:rsid w:val="063037AD"/>
    <w:rsid w:val="08001B61"/>
    <w:rsid w:val="08123C6C"/>
    <w:rsid w:val="08C14AC0"/>
    <w:rsid w:val="08D51397"/>
    <w:rsid w:val="09720BC9"/>
    <w:rsid w:val="09892717"/>
    <w:rsid w:val="0A4A38E5"/>
    <w:rsid w:val="0A4C6595"/>
    <w:rsid w:val="0B73217F"/>
    <w:rsid w:val="0D1C3BA2"/>
    <w:rsid w:val="0DA740E6"/>
    <w:rsid w:val="0E7335ED"/>
    <w:rsid w:val="0EA63224"/>
    <w:rsid w:val="0ED75667"/>
    <w:rsid w:val="0F4B6CDE"/>
    <w:rsid w:val="11441086"/>
    <w:rsid w:val="11675541"/>
    <w:rsid w:val="119333A6"/>
    <w:rsid w:val="119A0247"/>
    <w:rsid w:val="1296787A"/>
    <w:rsid w:val="141824FD"/>
    <w:rsid w:val="146B5943"/>
    <w:rsid w:val="14BB399E"/>
    <w:rsid w:val="14E344DD"/>
    <w:rsid w:val="15325B8C"/>
    <w:rsid w:val="16DF323C"/>
    <w:rsid w:val="18711FF6"/>
    <w:rsid w:val="19254FFF"/>
    <w:rsid w:val="1AC56562"/>
    <w:rsid w:val="1B8D7E2D"/>
    <w:rsid w:val="1C1D26D5"/>
    <w:rsid w:val="1C7132E0"/>
    <w:rsid w:val="1C926BB0"/>
    <w:rsid w:val="1CD2039E"/>
    <w:rsid w:val="1D907BF6"/>
    <w:rsid w:val="1D971CEE"/>
    <w:rsid w:val="1D995B3A"/>
    <w:rsid w:val="1DDC0480"/>
    <w:rsid w:val="1E2E0D01"/>
    <w:rsid w:val="205168B4"/>
    <w:rsid w:val="207E0018"/>
    <w:rsid w:val="20865A10"/>
    <w:rsid w:val="22412CD8"/>
    <w:rsid w:val="22833C00"/>
    <w:rsid w:val="22B00295"/>
    <w:rsid w:val="22EC0F20"/>
    <w:rsid w:val="22F22F02"/>
    <w:rsid w:val="234746BB"/>
    <w:rsid w:val="23CE3941"/>
    <w:rsid w:val="246A1806"/>
    <w:rsid w:val="24A02414"/>
    <w:rsid w:val="24BF60D4"/>
    <w:rsid w:val="24E0268F"/>
    <w:rsid w:val="2574359B"/>
    <w:rsid w:val="263E5511"/>
    <w:rsid w:val="26A97882"/>
    <w:rsid w:val="26CB7FF9"/>
    <w:rsid w:val="28634DB4"/>
    <w:rsid w:val="29D50ED6"/>
    <w:rsid w:val="2A336FAE"/>
    <w:rsid w:val="2AA26599"/>
    <w:rsid w:val="2AB43135"/>
    <w:rsid w:val="2C156556"/>
    <w:rsid w:val="2CBF7765"/>
    <w:rsid w:val="2D6A54B9"/>
    <w:rsid w:val="2EBF719A"/>
    <w:rsid w:val="2FF15AB3"/>
    <w:rsid w:val="31966B74"/>
    <w:rsid w:val="32095E70"/>
    <w:rsid w:val="33E32A95"/>
    <w:rsid w:val="34672E62"/>
    <w:rsid w:val="35063F14"/>
    <w:rsid w:val="35AB516A"/>
    <w:rsid w:val="35F049CF"/>
    <w:rsid w:val="36231869"/>
    <w:rsid w:val="364C5302"/>
    <w:rsid w:val="36F44013"/>
    <w:rsid w:val="37B62394"/>
    <w:rsid w:val="38DA1536"/>
    <w:rsid w:val="394D2540"/>
    <w:rsid w:val="397A6C13"/>
    <w:rsid w:val="3A5A476F"/>
    <w:rsid w:val="3AF46516"/>
    <w:rsid w:val="3AFD14AA"/>
    <w:rsid w:val="3BB36A80"/>
    <w:rsid w:val="3C6420CA"/>
    <w:rsid w:val="3C74290D"/>
    <w:rsid w:val="3CD100AE"/>
    <w:rsid w:val="3D1D156A"/>
    <w:rsid w:val="3E9358BE"/>
    <w:rsid w:val="400B33E2"/>
    <w:rsid w:val="400D35EF"/>
    <w:rsid w:val="404118F4"/>
    <w:rsid w:val="406F6A98"/>
    <w:rsid w:val="40801F4E"/>
    <w:rsid w:val="40FD42F4"/>
    <w:rsid w:val="418A1F04"/>
    <w:rsid w:val="41912F5E"/>
    <w:rsid w:val="42E12896"/>
    <w:rsid w:val="434B5F61"/>
    <w:rsid w:val="43E30EE6"/>
    <w:rsid w:val="44764855"/>
    <w:rsid w:val="450F5FF2"/>
    <w:rsid w:val="451F33A3"/>
    <w:rsid w:val="45223AF4"/>
    <w:rsid w:val="458D5436"/>
    <w:rsid w:val="45C16619"/>
    <w:rsid w:val="46610723"/>
    <w:rsid w:val="46865B30"/>
    <w:rsid w:val="47027BE3"/>
    <w:rsid w:val="47635CAF"/>
    <w:rsid w:val="47A31E05"/>
    <w:rsid w:val="49677AE5"/>
    <w:rsid w:val="498B7D2D"/>
    <w:rsid w:val="49DE7704"/>
    <w:rsid w:val="4AB53BA2"/>
    <w:rsid w:val="4B8461F1"/>
    <w:rsid w:val="4D220897"/>
    <w:rsid w:val="4DB31AAD"/>
    <w:rsid w:val="4F1E035B"/>
    <w:rsid w:val="50475194"/>
    <w:rsid w:val="50BB6BF0"/>
    <w:rsid w:val="515070C6"/>
    <w:rsid w:val="52002C0B"/>
    <w:rsid w:val="52CC1D29"/>
    <w:rsid w:val="53716893"/>
    <w:rsid w:val="53EC7BDD"/>
    <w:rsid w:val="54CA7340"/>
    <w:rsid w:val="54EE23EF"/>
    <w:rsid w:val="553B6573"/>
    <w:rsid w:val="55620D75"/>
    <w:rsid w:val="55EE06D6"/>
    <w:rsid w:val="563E7F7C"/>
    <w:rsid w:val="56A20EB1"/>
    <w:rsid w:val="57340D8E"/>
    <w:rsid w:val="57793040"/>
    <w:rsid w:val="57960AFC"/>
    <w:rsid w:val="57B27BB0"/>
    <w:rsid w:val="58F33FC3"/>
    <w:rsid w:val="5A1E63EF"/>
    <w:rsid w:val="5BDC6D9E"/>
    <w:rsid w:val="5C1D5625"/>
    <w:rsid w:val="5C797ECA"/>
    <w:rsid w:val="5CDE3ED8"/>
    <w:rsid w:val="5DEA4C13"/>
    <w:rsid w:val="5ED824C7"/>
    <w:rsid w:val="5F756D79"/>
    <w:rsid w:val="5F775463"/>
    <w:rsid w:val="5FD46C57"/>
    <w:rsid w:val="613E3EB1"/>
    <w:rsid w:val="61546D13"/>
    <w:rsid w:val="61916DE7"/>
    <w:rsid w:val="61B51B16"/>
    <w:rsid w:val="61D27B22"/>
    <w:rsid w:val="62C2625A"/>
    <w:rsid w:val="63BE7BD8"/>
    <w:rsid w:val="6406103E"/>
    <w:rsid w:val="646A2555"/>
    <w:rsid w:val="64AB3850"/>
    <w:rsid w:val="64C55DEF"/>
    <w:rsid w:val="65B92C7B"/>
    <w:rsid w:val="665B3607"/>
    <w:rsid w:val="68540851"/>
    <w:rsid w:val="686778A9"/>
    <w:rsid w:val="699E52CA"/>
    <w:rsid w:val="69BD10B7"/>
    <w:rsid w:val="6A080A3B"/>
    <w:rsid w:val="6B08094F"/>
    <w:rsid w:val="6BED1933"/>
    <w:rsid w:val="6BF20910"/>
    <w:rsid w:val="6BF22F55"/>
    <w:rsid w:val="6C09681C"/>
    <w:rsid w:val="6CC750E0"/>
    <w:rsid w:val="6CCC4AA4"/>
    <w:rsid w:val="6CE8367C"/>
    <w:rsid w:val="6CEC77D9"/>
    <w:rsid w:val="6DB14A8F"/>
    <w:rsid w:val="6DB22519"/>
    <w:rsid w:val="6DE86B28"/>
    <w:rsid w:val="6E0A23F1"/>
    <w:rsid w:val="6EA53396"/>
    <w:rsid w:val="6EEE5A06"/>
    <w:rsid w:val="6F5900ED"/>
    <w:rsid w:val="6F9051FD"/>
    <w:rsid w:val="70C44A1F"/>
    <w:rsid w:val="70D6524C"/>
    <w:rsid w:val="71052E1D"/>
    <w:rsid w:val="71C472D0"/>
    <w:rsid w:val="72346750"/>
    <w:rsid w:val="734C1064"/>
    <w:rsid w:val="74FB0BE2"/>
    <w:rsid w:val="75B33111"/>
    <w:rsid w:val="76440983"/>
    <w:rsid w:val="77342619"/>
    <w:rsid w:val="77BF0814"/>
    <w:rsid w:val="78244411"/>
    <w:rsid w:val="78CE0BB8"/>
    <w:rsid w:val="78DA1D97"/>
    <w:rsid w:val="7A550850"/>
    <w:rsid w:val="7AEA1BDB"/>
    <w:rsid w:val="7AF706A9"/>
    <w:rsid w:val="7DFD6D14"/>
    <w:rsid w:val="7E4C76F2"/>
    <w:rsid w:val="7E90619D"/>
    <w:rsid w:val="7EDF566D"/>
    <w:rsid w:val="7EED169F"/>
    <w:rsid w:val="7F8B4F78"/>
    <w:rsid w:val="7FD354C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qFormat="1" w:unhideWhenUsed="0" w:uiPriority="0" w:semiHidden="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99" w:name="Body Text"/>
    <w:lsdException w:qFormat="1" w:uiPriority="99"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99"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9"/>
    <w:pPr>
      <w:keepNext/>
      <w:keepLines/>
      <w:spacing w:before="260" w:after="260" w:line="413" w:lineRule="auto"/>
      <w:outlineLvl w:val="1"/>
    </w:pPr>
    <w:rPr>
      <w:rFonts w:ascii="Arial" w:hAnsi="Arial" w:eastAsia="黑体"/>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0"/>
    <w:pPr>
      <w:jc w:val="left"/>
    </w:pPr>
  </w:style>
  <w:style w:type="paragraph" w:styleId="4">
    <w:name w:val="Body Text"/>
    <w:basedOn w:val="1"/>
    <w:semiHidden/>
    <w:unhideWhenUsed/>
    <w:qFormat/>
    <w:uiPriority w:val="99"/>
    <w:pPr>
      <w:spacing w:after="120"/>
    </w:pPr>
  </w:style>
  <w:style w:type="paragraph" w:styleId="5">
    <w:name w:val="Body Text Indent"/>
    <w:basedOn w:val="1"/>
    <w:semiHidden/>
    <w:unhideWhenUsed/>
    <w:qFormat/>
    <w:uiPriority w:val="99"/>
    <w:pPr>
      <w:spacing w:after="120"/>
      <w:ind w:left="420" w:leftChars="200"/>
    </w:pPr>
  </w:style>
  <w:style w:type="paragraph" w:styleId="6">
    <w:name w:val="toc 5"/>
    <w:basedOn w:val="1"/>
    <w:next w:val="1"/>
    <w:qFormat/>
    <w:uiPriority w:val="0"/>
    <w:pPr>
      <w:widowControl w:val="0"/>
      <w:ind w:left="1680" w:leftChars="800"/>
      <w:jc w:val="both"/>
    </w:pPr>
    <w:rPr>
      <w:kern w:val="2"/>
      <w:szCs w:val="24"/>
    </w:rPr>
  </w:style>
  <w:style w:type="paragraph" w:styleId="7">
    <w:name w:val="footer"/>
    <w:basedOn w:val="1"/>
    <w:link w:val="16"/>
    <w:qFormat/>
    <w:uiPriority w:val="0"/>
    <w:pPr>
      <w:tabs>
        <w:tab w:val="center" w:pos="4153"/>
        <w:tab w:val="right" w:pos="8306"/>
      </w:tabs>
      <w:snapToGrid w:val="0"/>
      <w:jc w:val="left"/>
    </w:pPr>
    <w:rPr>
      <w:sz w:val="18"/>
      <w:szCs w:val="18"/>
    </w:rPr>
  </w:style>
  <w:style w:type="paragraph" w:styleId="8">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0"/>
    <w:rPr>
      <w:sz w:val="24"/>
    </w:rPr>
  </w:style>
  <w:style w:type="paragraph" w:styleId="10">
    <w:name w:val="Body Text First Indent"/>
    <w:basedOn w:val="4"/>
    <w:semiHidden/>
    <w:unhideWhenUsed/>
    <w:qFormat/>
    <w:uiPriority w:val="99"/>
    <w:pPr>
      <w:ind w:firstLine="420" w:firstLineChars="100"/>
    </w:pPr>
  </w:style>
  <w:style w:type="paragraph" w:styleId="11">
    <w:name w:val="Body Text First Indent 2"/>
    <w:basedOn w:val="5"/>
    <w:next w:val="10"/>
    <w:qFormat/>
    <w:uiPriority w:val="0"/>
    <w:pPr>
      <w:snapToGrid w:val="0"/>
      <w:spacing w:line="360" w:lineRule="auto"/>
      <w:ind w:left="0" w:leftChars="0" w:firstLine="420" w:firstLineChars="200"/>
    </w:pPr>
    <w:rPr>
      <w:rFonts w:ascii="Tahoma" w:hAnsi="Tahoma"/>
      <w:sz w:val="28"/>
    </w:rPr>
  </w:style>
  <w:style w:type="paragraph" w:styleId="14">
    <w:name w:val="List Paragraph"/>
    <w:basedOn w:val="1"/>
    <w:unhideWhenUsed/>
    <w:qFormat/>
    <w:uiPriority w:val="99"/>
    <w:pPr>
      <w:ind w:firstLine="420" w:firstLineChars="200"/>
    </w:pPr>
  </w:style>
  <w:style w:type="character" w:customStyle="1" w:styleId="15">
    <w:name w:val="页眉 字符"/>
    <w:basedOn w:val="13"/>
    <w:link w:val="8"/>
    <w:qFormat/>
    <w:uiPriority w:val="0"/>
    <w:rPr>
      <w:kern w:val="2"/>
      <w:sz w:val="18"/>
      <w:szCs w:val="18"/>
    </w:rPr>
  </w:style>
  <w:style w:type="character" w:customStyle="1" w:styleId="16">
    <w:name w:val="页脚 字符"/>
    <w:basedOn w:val="13"/>
    <w:link w:val="7"/>
    <w:qFormat/>
    <w:uiPriority w:val="0"/>
    <w:rPr>
      <w:kern w:val="2"/>
      <w:sz w:val="18"/>
      <w:szCs w:val="18"/>
    </w:rPr>
  </w:style>
  <w:style w:type="table" w:customStyle="1" w:styleId="17">
    <w:name w:val="Table Normal"/>
    <w:semiHidden/>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paragraph" w:customStyle="1" w:styleId="18">
    <w:name w:val="Table Paragraph"/>
    <w:basedOn w:val="1"/>
    <w:qFormat/>
    <w:uiPriority w:val="1"/>
    <w:pPr>
      <w:autoSpaceDE w:val="0"/>
      <w:autoSpaceDN w:val="0"/>
      <w:ind w:left="56"/>
      <w:jc w:val="left"/>
    </w:pPr>
    <w:rPr>
      <w:rFonts w:ascii="宋体" w:hAnsi="宋体" w:eastAsia="宋体" w:cs="宋体"/>
      <w:kern w:val="0"/>
      <w:sz w:val="22"/>
      <w:szCs w:val="22"/>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Pages>
  <Words>1464</Words>
  <Characters>1528</Characters>
  <Lines>13</Lines>
  <Paragraphs>3</Paragraphs>
  <TotalTime>3</TotalTime>
  <ScaleCrop>false</ScaleCrop>
  <LinksUpToDate>false</LinksUpToDate>
  <CharactersWithSpaces>1584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2023-04-06T08:51:00Z</dcterms:created>
  <dc:creator>Administrator</dc:creator>
  <cp:lastModifiedBy>xied</cp:lastModifiedBy>
  <cp:lastPrinted>2021-11-01T07:56:00Z</cp:lastPrinted>
  <dcterms:modified xsi:type="dcterms:W3CDTF">2026-06-30T06:14:22Z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DD8E094E50AF41FC912FABE04B1F5DAE_13</vt:lpwstr>
  </property>
  <property fmtid="{D5CDD505-2E9C-101B-9397-08002B2CF9AE}" pid="4" name="KSOTemplateDocerSaveRecord">
    <vt:lpwstr>eyJoZGlkIjoiYWM2Y2IxZTk4ZmZiNDBlMTU1OWRiODY1ZjdlMTJiMjYifQ==</vt:lpwstr>
  </property>
</Properties>
</file>